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226A" w14:textId="77777777" w:rsidR="00B35A3D" w:rsidRDefault="006C1CB8" w:rsidP="00FD36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2"/>
          <w:b/>
          <w:bCs/>
          <w:color w:val="000000"/>
          <w:sz w:val="24"/>
          <w:szCs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  <w:szCs w:val="24"/>
        </w:rPr>
        <w:t xml:space="preserve">FAQs </w:t>
      </w:r>
      <w:r w:rsidR="00B35A3D">
        <w:rPr>
          <w:rFonts w:ascii="Century Gothic" w:hAnsi="Century Gothic" w:cs="CIDFont+F2"/>
          <w:b/>
          <w:bCs/>
          <w:color w:val="000000"/>
          <w:sz w:val="24"/>
          <w:szCs w:val="24"/>
        </w:rPr>
        <w:t>GENERALES</w:t>
      </w:r>
    </w:p>
    <w:p w14:paraId="5B4F39DF" w14:textId="00C8E454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IDFont+F2"/>
          <w:b/>
          <w:bCs/>
          <w:color w:val="000000"/>
          <w:sz w:val="24"/>
          <w:szCs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  <w:szCs w:val="24"/>
        </w:rPr>
        <w:t>CONSULTA PRELIMINAR DEL MERCADO (CPM)</w:t>
      </w:r>
    </w:p>
    <w:p w14:paraId="4C1C113D" w14:textId="77777777" w:rsidR="00FD3677" w:rsidRPr="004B4C05" w:rsidRDefault="00FD3677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  <w:szCs w:val="24"/>
        </w:rPr>
      </w:pPr>
    </w:p>
    <w:p w14:paraId="0F3A47EA" w14:textId="3713F289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  <w:szCs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  <w:szCs w:val="24"/>
        </w:rPr>
        <w:t>Preguntas relacionadas con el procedimiento administrativo y de</w:t>
      </w:r>
      <w:r w:rsidR="00F54188" w:rsidRPr="004B4C05">
        <w:rPr>
          <w:rFonts w:ascii="Century Gothic" w:hAnsi="Century Gothic" w:cs="CIDFont+F2"/>
          <w:b/>
          <w:bCs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  <w:szCs w:val="24"/>
        </w:rPr>
        <w:t>gestión de la CPM</w:t>
      </w:r>
    </w:p>
    <w:p w14:paraId="59658B6D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  <w:szCs w:val="24"/>
        </w:rPr>
      </w:pPr>
    </w:p>
    <w:p w14:paraId="051D8C7A" w14:textId="13F9EE16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1. ¿Puedo presentar propuestas que resuelvan un Área de Actuación o parte</w:t>
      </w:r>
      <w:r w:rsidR="0026158B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del Reto?</w:t>
      </w:r>
    </w:p>
    <w:p w14:paraId="59A2C716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Sí, siempre que se resuelva de una forma innovadora.</w:t>
      </w:r>
    </w:p>
    <w:p w14:paraId="28F37A60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54BC7B9F" w14:textId="27A2BB2D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2. ¿Pueden presentarse propuestas de forma conjunta?</w:t>
      </w:r>
    </w:p>
    <w:p w14:paraId="5C9CF55E" w14:textId="5CA35809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Sí. Deberá identificarse como “ENTIDAD 1” aquella que represente al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grupo a efectos de interlocución con CDTI.</w:t>
      </w:r>
    </w:p>
    <w:p w14:paraId="6B9F6641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572B44BA" w14:textId="0820360B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3. ¿Es posible solicitar una reunión para analizar y enfocar mi caso concreto</w:t>
      </w:r>
      <w:r w:rsidR="00FD3677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para esta Consulta Preliminar del Mercado con los técnicos de CDTI?</w:t>
      </w:r>
    </w:p>
    <w:p w14:paraId="03B52120" w14:textId="77777777" w:rsidR="00FD3677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 xml:space="preserve">Las reuniones en esta fase se realizarán a solicitud de CDTI. Se resolverán las dudas que hayan sido presentadas por escrito a través del buzón de la Oficina de 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Compra Pública innovadora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para las Consultas Preliminares del Mercado, oc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>pi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 xml:space="preserve">@cdti.es, indicando en el asunto lo indicado en las Bases de la convocatoria. </w:t>
      </w:r>
    </w:p>
    <w:p w14:paraId="4B61D23C" w14:textId="4C521324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Las FAQs se irán completando y actualizando con las respuestas y preguntas de interés común.</w:t>
      </w:r>
    </w:p>
    <w:p w14:paraId="19D55736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02CB1E92" w14:textId="39695B03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4. ¿Me responderá CDTI sobre la valoración de mi propuesta?</w:t>
      </w:r>
    </w:p>
    <w:p w14:paraId="2AFD76E9" w14:textId="7BABD7D6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CDTI no responderá individualmente sobre la valoración de las propuestas. Solo se enviará un correo electrónico informando al proponente de que ha sido recibida.</w:t>
      </w:r>
    </w:p>
    <w:p w14:paraId="0D160225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58C78230" w14:textId="0A8435F1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5. ¿Hay algún tipo de restricción de enfoque tecnológico?</w:t>
      </w:r>
    </w:p>
    <w:p w14:paraId="0E2D80C8" w14:textId="66145A2F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No. el enfoque es libre siempre y cuando se sigan los requisitos establecidos en el reto tecnológico seleccionado. Podrá presentarse el enfoque tecnológico que se considere más apropiado, de acuerdo con las prescripciones establecidas en el RETO.</w:t>
      </w:r>
    </w:p>
    <w:p w14:paraId="38A2B5B0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08A46268" w14:textId="4BC85862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6. ¿Hay algún límite, mínimo o máximo al respecto del presupuesto que</w:t>
      </w:r>
      <w:r w:rsidR="00FD3677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puede ser presentado?</w:t>
      </w:r>
    </w:p>
    <w:p w14:paraId="6A8184EF" w14:textId="6C6F9F6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No hay límites económicos para la presentación de soluciones innovadoras en las CPM.</w:t>
      </w:r>
    </w:p>
    <w:p w14:paraId="58FFBAAF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05D5AF1D" w14:textId="11432C1B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7. ¿Hay que desglosar en un presupuesto el importe “precio”?</w:t>
      </w:r>
    </w:p>
    <w:p w14:paraId="1C23F8F1" w14:textId="77777777" w:rsidR="00FD3677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Sí. En esta fase de Consultas Preliminares del Mercado, hay que desglosar el presupuesto, en términos aproximados y a precio de mercado, de cada área de actuación en partidas (Inversión en activos fijos, Personal Titulado y no titulado, Materiales, Colaboraciones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 xml:space="preserve">Externas/Subcontrataciones previstas y Otros Gastos). </w:t>
      </w:r>
    </w:p>
    <w:p w14:paraId="725B6B5C" w14:textId="6939A24F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lastRenderedPageBreak/>
        <w:t>Esto permitirá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comparar entre propuestas recibidas similares a la hora de definir el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presupuesto en los pliegos. No obstante, en fase de licitación, se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especificarán las condiciones de justificación de los gastos.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También es aconsejable indicar el precio de cada fase propuesta, si es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que se presenta según tal esquema, desglosándolo en el punto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correspondiente del Anexo II.</w:t>
      </w:r>
    </w:p>
    <w:p w14:paraId="08AB9006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38329F09" w14:textId="02837852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8. ¿Se dispone de un presupuesto estimado para cada Reto?</w:t>
      </w:r>
    </w:p>
    <w:p w14:paraId="2AEDAF15" w14:textId="089FA8D5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El importe que será asignado a una previsible licitación se obtendrá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como resultado de las Ideas recibidas en el ANEXO II y en el que se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solicita un presupuesto orientativo para cada idea.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En los futuros pliegos aparecerá el presupuesto base de licitación, límite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máximo de gasto que en virtud del contrato puede comprometer el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CDTI como órgano de contratación.</w:t>
      </w:r>
    </w:p>
    <w:p w14:paraId="6E7BACA6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379CA406" w14:textId="6BF21B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9. ¿Existe un porcentaje máximo de potencial subcontratación? ¿A quién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puedo subcontratar?</w:t>
      </w:r>
    </w:p>
    <w:p w14:paraId="1CDCE0D3" w14:textId="19420E51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El porcentaje máximo de subcontratación se determinará en los pliegos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de la correspondiente licitación.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Se permite la subcontratación que se estime más oportuna, sea a una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entidad nacional o extranjera.</w:t>
      </w:r>
    </w:p>
    <w:p w14:paraId="2425BFAC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6C062C6C" w14:textId="6B88CD08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10. ¿Puede participar una entidad extranjera como potencial futuro licitador?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¿Se pueden presentar propuestas en inglés?</w:t>
      </w:r>
    </w:p>
    <w:p w14:paraId="60363B2E" w14:textId="3CCD697C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La participación quedará restringida a entidades pertenecientes a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países miembros de la Unión Europea o a países con Acuerdo de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Estabilización y Asociación con la UE en el ámbito de la contratación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pública.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El idioma a utilizar en todo momento, tanto durante el proceso de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Consulta Preliminar del Mercado como en la posterior fase de licitación,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será el español.</w:t>
      </w:r>
    </w:p>
    <w:p w14:paraId="1676D52A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78FB8803" w14:textId="162BEC4E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11. En determinadas licitaciones que puedan afectar a temas de seguridad,</w:t>
      </w:r>
      <w:r w:rsidR="00FD3677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¿se permitirá el acceso o uso a determinada información?</w:t>
      </w:r>
    </w:p>
    <w:p w14:paraId="1599AD84" w14:textId="631962EB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En fase de licitación, en los pliegos se proporcionará la documentación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básica para poder hacer los desarrollos o simulaciones pertinentes.</w:t>
      </w:r>
    </w:p>
    <w:p w14:paraId="5FF4AC7B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4736DFDA" w14:textId="6A651D21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12. En caso de que se publique la previsible licitación, ¿hay un plazo máximo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para firmar el contrato para el desarrollo del prototipo/servicio de I+D? ¿Y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para entregar el prototipo ya validado por el usuario final?</w:t>
      </w:r>
    </w:p>
    <w:p w14:paraId="6A34FD0B" w14:textId="2E152CA0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Sí. Los Fondos que aplican a la previsible licitación tendrían origen en el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Mecanismo de Recuperación y Resiliencia, por lo que el contrato debe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>-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estar firmado antes de fin de diciembre de 2023 y la validación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pertinente no puede concluir más tarde de diciembre de 2025.</w:t>
      </w:r>
    </w:p>
    <w:p w14:paraId="27C27AC5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5F5AA11F" w14:textId="1450809D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13. ¿Podría NO participar en la Consulta Preliminar pero SÍ en la previsible futura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licitación?</w:t>
      </w:r>
    </w:p>
    <w:p w14:paraId="2000A36F" w14:textId="33977C4E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SI, pero en caso que no se recibieran suficientes propuestas de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soluciones innovadoras en algún “Área de Actuación” podría no ser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llevada a cabo esa licitación.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 xml:space="preserve">Además, ya que la información recogida durante la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lastRenderedPageBreak/>
        <w:t>consulta va a servir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para definir las características y condicionantes técnicos que deben ser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tenidos en cuenta en la licitación, el riesgo que corre un operador que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no concurra a la Consulta Preliminar de Mercado es que su solución no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 ll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egue a ser considerada dentro de las opciones técnicas y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económicamente viables para resolver el reto planteado.</w:t>
      </w:r>
    </w:p>
    <w:p w14:paraId="68A786F4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077BCCCD" w14:textId="26F9E4B3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14. ¿Cuál sería el procedimiento de adjudicación a utilizar en la posterior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previsible licitación?</w:t>
      </w:r>
    </w:p>
    <w:p w14:paraId="336C8567" w14:textId="5BC773FA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Con carácter general, el procedimiento de adjudicación será abierto.</w:t>
      </w:r>
    </w:p>
    <w:p w14:paraId="0DB92C91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5E5CA162" w14:textId="39BD2279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15. ¿Qué quiere decir que la Compra Pública Precomercial (CPP) está fuera de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-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la Ley de Contratos del Sector Público?</w:t>
      </w:r>
    </w:p>
    <w:p w14:paraId="4C5F39B9" w14:textId="6FCB9DFF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Según el artículo 8 de la LCSP 9/2017, los contratos de investigación y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desarrollo están excluídos de la misma. En cualquier caso, la CPP se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debe sustentar bajo sus principios básicos: igualdad, no discriminación,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publicidad, transparencia y concurrencia competitiva.</w:t>
      </w:r>
    </w:p>
    <w:p w14:paraId="717939C4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7C3659F3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16. ¿En qué consiste la fase de validación?</w:t>
      </w:r>
    </w:p>
    <w:p w14:paraId="25916F94" w14:textId="775BD3A1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La validación preoperacional es la última fase de la licitación, es una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fase corta en duración y previa a la cesión al Usuario Final para que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continúe validando.</w:t>
      </w:r>
    </w:p>
    <w:p w14:paraId="691884E9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  <w:szCs w:val="24"/>
        </w:rPr>
      </w:pPr>
    </w:p>
    <w:p w14:paraId="2FB7B704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  <w:szCs w:val="24"/>
        </w:rPr>
      </w:pPr>
    </w:p>
    <w:p w14:paraId="57723EF4" w14:textId="6CAFCF7C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  <w:szCs w:val="24"/>
        </w:rPr>
      </w:pPr>
      <w:r w:rsidRPr="004B4C05">
        <w:rPr>
          <w:rFonts w:ascii="Century Gothic" w:hAnsi="Century Gothic" w:cs="CIDFont+F2"/>
          <w:color w:val="000000"/>
          <w:sz w:val="24"/>
          <w:szCs w:val="24"/>
        </w:rPr>
        <w:t>DERECHOS DE PROPIEDAD INTELECTUAL (DPIs)</w:t>
      </w:r>
    </w:p>
    <w:p w14:paraId="1077C425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222E3515" w14:textId="476EEC19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17. Si un participante no puede mencionar en su propuesta soluciones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patentadas o marcas, ¿es mejor que presente la solución como una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explicación de, en su caso, las mismas, sus funcionalidades, etc. sin usar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marca alguna?</w:t>
      </w:r>
    </w:p>
    <w:p w14:paraId="5E904A25" w14:textId="121FD27E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Las conclusiones de la CPM se utilizarán de base para la redacción de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la posterior licitación, que no podrá restringir la competencia por el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hecho de haberse celebrado las CPM. La inclusión de marcas, o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productos concretos sujetos a patente en la licitación podría restringir la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competencia y es por ello por lo que la resolución que rige la CPM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solicita que las propuestas no las incluyan.</w:t>
      </w:r>
    </w:p>
    <w:p w14:paraId="3F005553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607946AE" w14:textId="7777777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18. ¿Cómo se maneja la Propiedad Intelectual dentro de las CPM?</w:t>
      </w:r>
    </w:p>
    <w:p w14:paraId="7E315E61" w14:textId="38B63C97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El uso del contenido de las propuestas se limita exclusivamente a su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posible inclusión en las especificaciones funcionales o técnicas de un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eventual procedimiento de contratación posterior.</w:t>
      </w:r>
    </w:p>
    <w:p w14:paraId="423F3E87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35B9BB7C" w14:textId="268653D0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19. ¿Cuál va a ser el tratamiento de los DPI que se generen en el desarrollo</w:t>
      </w:r>
      <w:r w:rsidR="004B4C05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futuro de la solución?</w:t>
      </w:r>
    </w:p>
    <w:p w14:paraId="3339AD09" w14:textId="0ECFD39D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De conformidad con lo previsto en el régimen aplicable a la Compra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Pública Precomercial (CPP), de manera genérica CDTI cederá los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derechos de propiedad intelectual nuevos resultantes del contrato a los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operadores económicos participantes (empresas desarrolladoras), pero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lastRenderedPageBreak/>
        <w:t>conservará el derecho de usar los resultados de los servicios de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investigación y desarrollo de forma gratuita, así como el derecho de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otorgar (o exigir a los operadores económicos que otorguen) licencia a terceros conforme a condiciones de mercado justas y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razonables.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Por lo que se refiere a los usuarios públicos, al ser cesionarios del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producto o servicio de I+D adquiridos por CDTI, tendrán los mismos</w:t>
      </w:r>
    </w:p>
    <w:p w14:paraId="6A40862E" w14:textId="6522E970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derechos que éste en el eventual procedimiento de contratación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pública posterior para desplegar las soluciones adquiridas.</w:t>
      </w:r>
    </w:p>
    <w:p w14:paraId="07625BFC" w14:textId="77777777" w:rsidR="006937FA" w:rsidRPr="004B4C05" w:rsidRDefault="006937FA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</w:p>
    <w:p w14:paraId="6A8BFE36" w14:textId="4A9D4D05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20. ¿Cómo se va a regular la propiedad intelectual y las licencias derivadas</w:t>
      </w:r>
      <w:r w:rsidR="006937FA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de la innovación objeto de las licitaciones de CPP ulteriores a la CPM?</w:t>
      </w:r>
    </w:p>
    <w:p w14:paraId="261DB679" w14:textId="313976E0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3"/>
          <w:color w:val="000000"/>
          <w:sz w:val="24"/>
          <w:szCs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La gestión de DPIs se regulará en los futuros pliegos de condiciones por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los que se rijan las CPPs.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No obstante, este punto es objeto de consulta y la decisión final estará</w:t>
      </w:r>
      <w:r w:rsidR="006937FA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condicionada por los resultados de la CPM.</w:t>
      </w:r>
    </w:p>
    <w:p w14:paraId="193AE122" w14:textId="0A4A19BF" w:rsidR="00FD3677" w:rsidRPr="004B4C05" w:rsidRDefault="00FD3677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  <w:szCs w:val="24"/>
        </w:rPr>
      </w:pPr>
    </w:p>
    <w:p w14:paraId="57CA7D4A" w14:textId="77777777" w:rsidR="004B4C05" w:rsidRPr="004B4C05" w:rsidRDefault="004B4C05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  <w:szCs w:val="24"/>
        </w:rPr>
      </w:pPr>
    </w:p>
    <w:p w14:paraId="5CEE05F0" w14:textId="3F96DA20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  <w:szCs w:val="24"/>
        </w:rPr>
      </w:pPr>
      <w:r w:rsidRPr="004B4C05">
        <w:rPr>
          <w:rFonts w:ascii="Century Gothic" w:hAnsi="Century Gothic" w:cs="CIDFont+F2"/>
          <w:color w:val="000000"/>
          <w:sz w:val="24"/>
          <w:szCs w:val="24"/>
        </w:rPr>
        <w:t>PUBLICIDAD</w:t>
      </w:r>
    </w:p>
    <w:p w14:paraId="33FB8F20" w14:textId="77777777" w:rsidR="004B4C05" w:rsidRPr="004B4C05" w:rsidRDefault="004B4C05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color w:val="000000"/>
          <w:sz w:val="24"/>
        </w:rPr>
      </w:pPr>
    </w:p>
    <w:p w14:paraId="2A22CD06" w14:textId="0E3575F9" w:rsidR="006C1CB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IDFont+F2"/>
          <w:b/>
          <w:bCs/>
          <w:color w:val="000000"/>
          <w:sz w:val="24"/>
        </w:rPr>
      </w:pPr>
      <w:r w:rsidRPr="004B4C05">
        <w:rPr>
          <w:rFonts w:ascii="Century Gothic" w:hAnsi="Century Gothic" w:cs="CIDFont+F2"/>
          <w:b/>
          <w:bCs/>
          <w:color w:val="000000"/>
          <w:sz w:val="24"/>
        </w:rPr>
        <w:t>21. ¿Dónde se publicitará la información relativa a los avances en la definición</w:t>
      </w:r>
      <w:r w:rsidR="00FD3677" w:rsidRPr="004B4C05">
        <w:rPr>
          <w:rFonts w:ascii="Century Gothic" w:hAnsi="Century Gothic" w:cs="CIDFont+F2"/>
          <w:b/>
          <w:bCs/>
          <w:color w:val="000000"/>
          <w:sz w:val="24"/>
        </w:rPr>
        <w:t xml:space="preserve"> </w:t>
      </w:r>
      <w:r w:rsidRPr="004B4C05">
        <w:rPr>
          <w:rFonts w:ascii="Century Gothic" w:hAnsi="Century Gothic" w:cs="CIDFont+F2"/>
          <w:b/>
          <w:bCs/>
          <w:color w:val="000000"/>
          <w:sz w:val="24"/>
        </w:rPr>
        <w:t>de los retos tecnológicos?</w:t>
      </w:r>
    </w:p>
    <w:p w14:paraId="240F9B31" w14:textId="6AB5E901" w:rsidR="00F935C8" w:rsidRPr="004B4C05" w:rsidRDefault="006C1CB8" w:rsidP="00FD367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</w:rPr>
      </w:pPr>
      <w:r w:rsidRPr="004B4C05">
        <w:rPr>
          <w:rFonts w:ascii="Century Gothic" w:hAnsi="Century Gothic" w:cs="CIDFont+F3"/>
          <w:color w:val="000000"/>
          <w:sz w:val="24"/>
          <w:szCs w:val="24"/>
        </w:rPr>
        <w:t>CDTI, con el fin de garantizar la transparencia e igualdad de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oportunidades entre los participantes de los eventuales procedimientos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de contratación que se puedan convocar, publicitará la información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relativa a la consulta preliminar de mercado, pero en ningún caso</w:t>
      </w:r>
      <w:r w:rsidR="00FD3677" w:rsidRPr="004B4C05">
        <w:rPr>
          <w:rFonts w:ascii="Century Gothic" w:hAnsi="Century Gothic" w:cs="CIDFont+F3"/>
          <w:color w:val="000000"/>
          <w:sz w:val="24"/>
          <w:szCs w:val="24"/>
        </w:rPr>
        <w:t xml:space="preserve"> </w:t>
      </w:r>
      <w:r w:rsidRPr="004B4C05">
        <w:rPr>
          <w:rFonts w:ascii="Century Gothic" w:hAnsi="Century Gothic" w:cs="CIDFont+F3"/>
          <w:color w:val="000000"/>
          <w:sz w:val="24"/>
          <w:szCs w:val="24"/>
        </w:rPr>
        <w:t>recogerá explícitamente dichas soluciones.</w:t>
      </w:r>
    </w:p>
    <w:sectPr w:rsidR="00F935C8" w:rsidRPr="004B4C0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48A7" w14:textId="77777777" w:rsidR="006C1CB8" w:rsidRDefault="006C1CB8" w:rsidP="006C1CB8">
      <w:pPr>
        <w:spacing w:after="0" w:line="240" w:lineRule="auto"/>
      </w:pPr>
      <w:r>
        <w:separator/>
      </w:r>
    </w:p>
  </w:endnote>
  <w:endnote w:type="continuationSeparator" w:id="0">
    <w:p w14:paraId="47510175" w14:textId="77777777" w:rsidR="006C1CB8" w:rsidRDefault="006C1CB8" w:rsidP="006C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4716" w14:textId="77777777" w:rsidR="006C1CB8" w:rsidRDefault="006C1CB8" w:rsidP="006C1CB8">
      <w:pPr>
        <w:spacing w:after="0" w:line="240" w:lineRule="auto"/>
      </w:pPr>
      <w:r>
        <w:separator/>
      </w:r>
    </w:p>
  </w:footnote>
  <w:footnote w:type="continuationSeparator" w:id="0">
    <w:p w14:paraId="2197155E" w14:textId="77777777" w:rsidR="006C1CB8" w:rsidRDefault="006C1CB8" w:rsidP="006C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B852" w14:textId="2D6CA418" w:rsidR="006C1CB8" w:rsidRDefault="006C1CB8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F10D6DE" wp14:editId="64F8B7D6">
          <wp:simplePos x="0" y="0"/>
          <wp:positionH relativeFrom="page">
            <wp:posOffset>927487</wp:posOffset>
          </wp:positionH>
          <wp:positionV relativeFrom="page">
            <wp:posOffset>177800</wp:posOffset>
          </wp:positionV>
          <wp:extent cx="1531620" cy="444500"/>
          <wp:effectExtent l="0" t="0" r="0" b="0"/>
          <wp:wrapNone/>
          <wp:docPr id="8" name="image1.jpeg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162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842DB46" wp14:editId="3BDFEA89">
          <wp:simplePos x="0" y="0"/>
          <wp:positionH relativeFrom="margin">
            <wp:posOffset>3595453</wp:posOffset>
          </wp:positionH>
          <wp:positionV relativeFrom="paragraph">
            <wp:posOffset>-221615</wp:posOffset>
          </wp:positionV>
          <wp:extent cx="2589530" cy="393700"/>
          <wp:effectExtent l="0" t="0" r="1270" b="6350"/>
          <wp:wrapTight wrapText="bothSides">
            <wp:wrapPolygon edited="0">
              <wp:start x="0" y="0"/>
              <wp:lineTo x="0" y="20903"/>
              <wp:lineTo x="21452" y="20903"/>
              <wp:lineTo x="21452" y="0"/>
              <wp:lineTo x="0" y="0"/>
            </wp:wrapPolygon>
          </wp:wrapTight>
          <wp:docPr id="5" name="0 Imagen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Un dibujo de una cara feliz&#10;&#10;Descripción generada automáticamente con confianza baj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B8"/>
    <w:rsid w:val="0026158B"/>
    <w:rsid w:val="004B4C05"/>
    <w:rsid w:val="006937FA"/>
    <w:rsid w:val="006C1CB8"/>
    <w:rsid w:val="00816A7F"/>
    <w:rsid w:val="00B35A3D"/>
    <w:rsid w:val="00C3077E"/>
    <w:rsid w:val="00DD19AA"/>
    <w:rsid w:val="00F54188"/>
    <w:rsid w:val="00F935C8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4FFB"/>
  <w15:chartTrackingRefBased/>
  <w15:docId w15:val="{AD52D310-382E-47B2-9A4B-6EF69372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CB8"/>
  </w:style>
  <w:style w:type="paragraph" w:styleId="Piedepgina">
    <w:name w:val="footer"/>
    <w:basedOn w:val="Normal"/>
    <w:link w:val="PiedepginaCar"/>
    <w:uiPriority w:val="99"/>
    <w:unhideWhenUsed/>
    <w:rsid w:val="006C1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1300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Ilarduya Amann</dc:creator>
  <cp:keywords/>
  <dc:description/>
  <cp:lastModifiedBy>Soledad Ilarduya Amann</cp:lastModifiedBy>
  <cp:revision>5</cp:revision>
  <dcterms:created xsi:type="dcterms:W3CDTF">2022-12-27T15:20:00Z</dcterms:created>
  <dcterms:modified xsi:type="dcterms:W3CDTF">2023-01-19T15:39:00Z</dcterms:modified>
</cp:coreProperties>
</file>