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A7CC5" w14:textId="77777777" w:rsidR="003F7DE5" w:rsidRDefault="003F7DE5" w:rsidP="00650F3D">
      <w:proofErr w:type="spellStart"/>
      <w:r w:rsidRPr="003F7DE5">
        <w:rPr>
          <w:rFonts w:ascii="Century Gothic" w:hAnsi="Century Gothic"/>
          <w:b/>
        </w:rPr>
        <w:t>FAQs</w:t>
      </w:r>
      <w:proofErr w:type="spellEnd"/>
      <w:r w:rsidRPr="003F7DE5">
        <w:rPr>
          <w:rFonts w:ascii="Century Gothic" w:hAnsi="Century Gothic"/>
          <w:b/>
        </w:rPr>
        <w:t xml:space="preserve"> CONSULTA PRELIMINAR DEL MERCADO (CPM)</w:t>
      </w:r>
      <w:r>
        <w:t xml:space="preserve"> </w:t>
      </w:r>
    </w:p>
    <w:p w14:paraId="3B47B994" w14:textId="77777777" w:rsidR="003F7DE5" w:rsidRDefault="003F7DE5" w:rsidP="00650F3D"/>
    <w:p w14:paraId="6B758A79" w14:textId="77777777" w:rsidR="003F7DE5" w:rsidRDefault="003F7DE5" w:rsidP="003F7DE5">
      <w:pPr>
        <w:jc w:val="both"/>
        <w:rPr>
          <w:rFonts w:ascii="Century Gothic" w:hAnsi="Century Gothic"/>
        </w:rPr>
      </w:pPr>
      <w:r w:rsidRPr="003F7DE5">
        <w:rPr>
          <w:rFonts w:ascii="Century Gothic" w:hAnsi="Century Gothic"/>
        </w:rPr>
        <w:t xml:space="preserve">Preguntas relacionadas con el procedimiento administrativo y de gestión de la CPM </w:t>
      </w:r>
    </w:p>
    <w:p w14:paraId="2CE7F544" w14:textId="77777777" w:rsidR="003F7DE5" w:rsidRDefault="003F7DE5" w:rsidP="003F7DE5">
      <w:pPr>
        <w:jc w:val="both"/>
        <w:rPr>
          <w:rFonts w:ascii="Century Gothic" w:hAnsi="Century Gothic"/>
        </w:rPr>
      </w:pPr>
    </w:p>
    <w:p w14:paraId="29395979" w14:textId="77777777" w:rsidR="003F7DE5" w:rsidRDefault="003F7DE5" w:rsidP="003F7DE5">
      <w:pPr>
        <w:jc w:val="both"/>
        <w:rPr>
          <w:rFonts w:ascii="Century Gothic" w:hAnsi="Century Gothic"/>
        </w:rPr>
      </w:pPr>
      <w:r w:rsidRPr="003F7DE5">
        <w:rPr>
          <w:rFonts w:ascii="Century Gothic" w:hAnsi="Century Gothic"/>
          <w:b/>
          <w:bCs/>
        </w:rPr>
        <w:t>1. ¿Puedo presentar propuestas que resuelvan un Área de Actuación o parte del Reto?</w:t>
      </w:r>
      <w:r w:rsidRPr="003F7DE5">
        <w:rPr>
          <w:rFonts w:ascii="Century Gothic" w:hAnsi="Century Gothic"/>
        </w:rPr>
        <w:t xml:space="preserve"> Sí, siempre que se resuelva de una forma innovadora. </w:t>
      </w:r>
    </w:p>
    <w:p w14:paraId="2992DD7B" w14:textId="77777777" w:rsidR="003F7DE5" w:rsidRDefault="003F7DE5" w:rsidP="003F7DE5">
      <w:pPr>
        <w:jc w:val="both"/>
        <w:rPr>
          <w:rFonts w:ascii="Century Gothic" w:hAnsi="Century Gothic"/>
        </w:rPr>
      </w:pPr>
    </w:p>
    <w:p w14:paraId="0EE8B061" w14:textId="77777777" w:rsidR="003F7DE5" w:rsidRDefault="003F7DE5" w:rsidP="003F7DE5">
      <w:pPr>
        <w:jc w:val="both"/>
        <w:rPr>
          <w:rFonts w:ascii="Century Gothic" w:hAnsi="Century Gothic"/>
        </w:rPr>
      </w:pPr>
      <w:r w:rsidRPr="003F7DE5">
        <w:rPr>
          <w:rFonts w:ascii="Century Gothic" w:hAnsi="Century Gothic"/>
          <w:b/>
          <w:bCs/>
        </w:rPr>
        <w:t>2. ¿Pueden presentarse propuestas de forma conjunta?</w:t>
      </w:r>
      <w:r w:rsidRPr="003F7DE5">
        <w:rPr>
          <w:rFonts w:ascii="Century Gothic" w:hAnsi="Century Gothic"/>
        </w:rPr>
        <w:t xml:space="preserve"> Sí. Deberá identificarse como “ENTIDAD 1” aquella que represente al grupo a efectos de interlocución con CDTI. </w:t>
      </w:r>
    </w:p>
    <w:p w14:paraId="50910EE2" w14:textId="77777777" w:rsidR="003F7DE5" w:rsidRDefault="003F7DE5" w:rsidP="003F7DE5">
      <w:pPr>
        <w:jc w:val="both"/>
        <w:rPr>
          <w:rFonts w:ascii="Century Gothic" w:hAnsi="Century Gothic"/>
        </w:rPr>
      </w:pPr>
    </w:p>
    <w:p w14:paraId="37311558" w14:textId="10A8A4AB" w:rsidR="003F7DE5" w:rsidRDefault="003F7DE5" w:rsidP="003F7DE5">
      <w:pPr>
        <w:jc w:val="both"/>
        <w:rPr>
          <w:rFonts w:ascii="Century Gothic" w:hAnsi="Century Gothic"/>
        </w:rPr>
      </w:pPr>
      <w:r w:rsidRPr="003F7DE5">
        <w:rPr>
          <w:rFonts w:ascii="Century Gothic" w:hAnsi="Century Gothic"/>
          <w:b/>
          <w:bCs/>
        </w:rPr>
        <w:t xml:space="preserve">3. ¿Es posible solicitar una reunión para analizar y enfocar mi caso concreto para esta Consulta Preliminar del Mercado con los técnicos de CDTI? </w:t>
      </w:r>
      <w:r w:rsidRPr="003F7DE5">
        <w:rPr>
          <w:rFonts w:ascii="Century Gothic" w:hAnsi="Century Gothic"/>
        </w:rPr>
        <w:t xml:space="preserve">Las reuniones en esta fase se realizarán a solicitud de CDTI. Se resolverán las dudas que hayan sido presentadas por escrito a través del buzón de </w:t>
      </w:r>
      <w:r w:rsidRPr="00B55BAE">
        <w:rPr>
          <w:rFonts w:ascii="Century Gothic" w:hAnsi="Century Gothic"/>
          <w:b/>
          <w:bCs/>
        </w:rPr>
        <w:t>ocpi@cdti.es</w:t>
      </w:r>
      <w:r w:rsidRPr="003F7DE5">
        <w:rPr>
          <w:rFonts w:ascii="Century Gothic" w:hAnsi="Century Gothic"/>
        </w:rPr>
        <w:t xml:space="preserve">, indicando en el asunto lo indicado en las Bases de la convocatoria. Las </w:t>
      </w:r>
      <w:proofErr w:type="spellStart"/>
      <w:r w:rsidRPr="003F7DE5">
        <w:rPr>
          <w:rFonts w:ascii="Century Gothic" w:hAnsi="Century Gothic"/>
        </w:rPr>
        <w:t>FAQs</w:t>
      </w:r>
      <w:proofErr w:type="spellEnd"/>
      <w:r w:rsidRPr="003F7DE5">
        <w:rPr>
          <w:rFonts w:ascii="Century Gothic" w:hAnsi="Century Gothic"/>
        </w:rPr>
        <w:t xml:space="preserve"> se irán completando y actualizando con las respuestas y preguntas de interés común. </w:t>
      </w:r>
    </w:p>
    <w:p w14:paraId="0A0246EA" w14:textId="77777777" w:rsidR="003F7DE5" w:rsidRDefault="003F7DE5" w:rsidP="003F7DE5">
      <w:pPr>
        <w:jc w:val="both"/>
        <w:rPr>
          <w:rFonts w:ascii="Century Gothic" w:hAnsi="Century Gothic"/>
        </w:rPr>
      </w:pPr>
    </w:p>
    <w:p w14:paraId="57618133" w14:textId="5143F869" w:rsidR="003F7DE5" w:rsidRDefault="003F7DE5" w:rsidP="003F7DE5">
      <w:pPr>
        <w:jc w:val="both"/>
        <w:rPr>
          <w:rFonts w:ascii="Century Gothic" w:hAnsi="Century Gothic"/>
        </w:rPr>
      </w:pPr>
      <w:r w:rsidRPr="003F7DE5">
        <w:rPr>
          <w:rFonts w:ascii="Century Gothic" w:hAnsi="Century Gothic"/>
          <w:b/>
          <w:bCs/>
        </w:rPr>
        <w:t>4. ¿Me responderá CDTI sobre la valoración de mi propuesta?</w:t>
      </w:r>
      <w:r w:rsidRPr="003F7DE5">
        <w:rPr>
          <w:rFonts w:ascii="Century Gothic" w:hAnsi="Century Gothic"/>
        </w:rPr>
        <w:t xml:space="preserve"> CDTI no responderá individualmente sobre la valoración de las propuestas. Solo se enviará un correo electrónico informando al proponente de que ha sido recibida. </w:t>
      </w:r>
      <w:r w:rsidR="00521053">
        <w:rPr>
          <w:rFonts w:ascii="Century Gothic" w:hAnsi="Century Gothic"/>
        </w:rPr>
        <w:t xml:space="preserve">Las propuestas individuales se utilizarán para la confección del </w:t>
      </w:r>
      <w:r w:rsidR="00A66C84">
        <w:rPr>
          <w:rFonts w:ascii="Century Gothic" w:hAnsi="Century Gothic"/>
        </w:rPr>
        <w:t xml:space="preserve">informe de conclusiones que se publicará con posterioridad, así como en su caso para la definición de la futura licitación. </w:t>
      </w:r>
    </w:p>
    <w:p w14:paraId="539BB05A" w14:textId="77777777" w:rsidR="003F7DE5" w:rsidRDefault="003F7DE5" w:rsidP="003F7DE5">
      <w:pPr>
        <w:jc w:val="both"/>
        <w:rPr>
          <w:rFonts w:ascii="Century Gothic" w:hAnsi="Century Gothic"/>
        </w:rPr>
      </w:pPr>
    </w:p>
    <w:p w14:paraId="46301E93" w14:textId="4EC0C057" w:rsidR="003F7DE5" w:rsidRDefault="003F7DE5" w:rsidP="003F7DE5">
      <w:pPr>
        <w:jc w:val="both"/>
        <w:rPr>
          <w:rFonts w:ascii="Century Gothic" w:hAnsi="Century Gothic"/>
        </w:rPr>
      </w:pPr>
      <w:r w:rsidRPr="003F7DE5">
        <w:rPr>
          <w:rFonts w:ascii="Century Gothic" w:hAnsi="Century Gothic"/>
          <w:b/>
          <w:bCs/>
        </w:rPr>
        <w:t>5. ¿Hay algún tipo de restricción de enfoque tecnológico?</w:t>
      </w:r>
      <w:r w:rsidRPr="003F7DE5">
        <w:rPr>
          <w:rFonts w:ascii="Century Gothic" w:hAnsi="Century Gothic"/>
        </w:rPr>
        <w:t xml:space="preserve"> No. el enfoque es libre siempre y cuando se sigan los requisitos establecidos en el reto tecnológico seleccionado. Podrá presentarse el enfoque tecnológico que se considere más apropiado, de acuerdo con las prescripciones establecidas en el RETO. </w:t>
      </w:r>
    </w:p>
    <w:p w14:paraId="2854A45A" w14:textId="77777777" w:rsidR="003F7DE5" w:rsidRDefault="003F7DE5" w:rsidP="003F7DE5">
      <w:pPr>
        <w:jc w:val="both"/>
        <w:rPr>
          <w:rFonts w:ascii="Century Gothic" w:hAnsi="Century Gothic"/>
        </w:rPr>
      </w:pPr>
    </w:p>
    <w:p w14:paraId="5DD77445" w14:textId="77777777" w:rsidR="003F7DE5" w:rsidRDefault="003F7DE5" w:rsidP="003F7DE5">
      <w:pPr>
        <w:jc w:val="both"/>
        <w:rPr>
          <w:rFonts w:ascii="Century Gothic" w:hAnsi="Century Gothic"/>
        </w:rPr>
      </w:pPr>
      <w:r w:rsidRPr="003F7DE5">
        <w:rPr>
          <w:rFonts w:ascii="Century Gothic" w:hAnsi="Century Gothic"/>
          <w:b/>
          <w:bCs/>
        </w:rPr>
        <w:t xml:space="preserve">6. ¿Hay algún límite, mínimo o máximo al respecto del presupuesto que puede ser presentado? </w:t>
      </w:r>
      <w:r w:rsidRPr="003F7DE5">
        <w:rPr>
          <w:rFonts w:ascii="Century Gothic" w:hAnsi="Century Gothic"/>
        </w:rPr>
        <w:t xml:space="preserve">No hay límites económicos para la presentación de soluciones innovadoras en las CPM. </w:t>
      </w:r>
    </w:p>
    <w:p w14:paraId="3210B159" w14:textId="77777777" w:rsidR="003F7DE5" w:rsidRDefault="003F7DE5" w:rsidP="003F7DE5">
      <w:pPr>
        <w:jc w:val="both"/>
        <w:rPr>
          <w:rFonts w:ascii="Century Gothic" w:hAnsi="Century Gothic"/>
        </w:rPr>
      </w:pPr>
    </w:p>
    <w:p w14:paraId="033A83CE" w14:textId="77777777" w:rsidR="003F7DE5" w:rsidRDefault="003F7DE5" w:rsidP="003F7DE5">
      <w:pPr>
        <w:jc w:val="both"/>
        <w:rPr>
          <w:rFonts w:ascii="Century Gothic" w:hAnsi="Century Gothic"/>
        </w:rPr>
      </w:pPr>
      <w:r w:rsidRPr="00B55BAE">
        <w:rPr>
          <w:rFonts w:ascii="Century Gothic" w:hAnsi="Century Gothic"/>
          <w:b/>
          <w:bCs/>
        </w:rPr>
        <w:t>7. ¿Hay que desglosar en un presupuesto el importe “precio”?</w:t>
      </w:r>
      <w:r w:rsidRPr="003F7DE5">
        <w:rPr>
          <w:rFonts w:ascii="Century Gothic" w:hAnsi="Century Gothic"/>
        </w:rPr>
        <w:t xml:space="preserve"> Sí. En esta fase de Consultas Preliminares del Mercado, hay que desglosar el presupuesto, en términos aproximados y a precio de mercado, de cada </w:t>
      </w:r>
      <w:r w:rsidRPr="003F7DE5">
        <w:rPr>
          <w:rFonts w:ascii="Century Gothic" w:hAnsi="Century Gothic"/>
        </w:rPr>
        <w:lastRenderedPageBreak/>
        <w:t xml:space="preserve">área de actuación en partidas (Inversión en activos fijos, Personal Titulado y no titulado, Materiales, Colaboraciones Externas/Subcontrataciones previstas y Otros Gastos). Esto permitirá comparar entre propuestas recibidas similares a la hora de definir el presupuesto en los pliegos. No obstante, en fase de licitación, se especificarán las condiciones de justificación de los gastos. También es aconsejable indicar el precio de cada fase propuesta, si es que se presenta según tal esquema, desglosándolo en el punto correspondiente del Anexo II. </w:t>
      </w:r>
    </w:p>
    <w:p w14:paraId="69270069" w14:textId="77777777" w:rsidR="003F7DE5" w:rsidRDefault="003F7DE5" w:rsidP="003F7DE5">
      <w:pPr>
        <w:jc w:val="both"/>
        <w:rPr>
          <w:rFonts w:ascii="Century Gothic" w:hAnsi="Century Gothic"/>
        </w:rPr>
      </w:pPr>
    </w:p>
    <w:p w14:paraId="0DFE2E76" w14:textId="1C2190E7" w:rsidR="003F7DE5" w:rsidRDefault="003F7DE5" w:rsidP="003F7DE5">
      <w:pPr>
        <w:jc w:val="both"/>
        <w:rPr>
          <w:rFonts w:ascii="Century Gothic" w:hAnsi="Century Gothic"/>
        </w:rPr>
      </w:pPr>
      <w:r w:rsidRPr="00B55BAE">
        <w:rPr>
          <w:rFonts w:ascii="Century Gothic" w:hAnsi="Century Gothic"/>
          <w:b/>
          <w:bCs/>
        </w:rPr>
        <w:t>8. ¿Se dispone de un presupuesto estimado para cada Reto?</w:t>
      </w:r>
      <w:r w:rsidRPr="003F7DE5">
        <w:rPr>
          <w:rFonts w:ascii="Century Gothic" w:hAnsi="Century Gothic"/>
        </w:rPr>
        <w:t xml:space="preserve"> El importe que será asignado a una previsible licitación se obtendrá como resultado de las Ideas recibidas en el ANEXO II y en el que se solicita un presupuesto orientativo para cada idea. En los futuros pliegos aparecerá el presupuesto base de licitación, límite máximo de gasto que en virtud del contrato puede comprometer el CDTI como órgano de contratación. </w:t>
      </w:r>
    </w:p>
    <w:p w14:paraId="70CF5097" w14:textId="77777777" w:rsidR="003F7DE5" w:rsidRDefault="003F7DE5" w:rsidP="003F7DE5">
      <w:pPr>
        <w:jc w:val="both"/>
        <w:rPr>
          <w:rFonts w:ascii="Century Gothic" w:hAnsi="Century Gothic"/>
        </w:rPr>
      </w:pPr>
    </w:p>
    <w:p w14:paraId="66388E5F" w14:textId="77777777" w:rsidR="003F7DE5" w:rsidRDefault="003F7DE5" w:rsidP="003F7DE5">
      <w:pPr>
        <w:jc w:val="both"/>
        <w:rPr>
          <w:rFonts w:ascii="Century Gothic" w:hAnsi="Century Gothic"/>
        </w:rPr>
      </w:pPr>
      <w:r w:rsidRPr="00B55BAE">
        <w:rPr>
          <w:rFonts w:ascii="Century Gothic" w:hAnsi="Century Gothic"/>
          <w:b/>
          <w:bCs/>
        </w:rPr>
        <w:t xml:space="preserve">9. ¿Existe un porcentaje máximo de potencial subcontratación? ¿A quién puedo subcontratar? </w:t>
      </w:r>
      <w:r w:rsidRPr="003F7DE5">
        <w:rPr>
          <w:rFonts w:ascii="Century Gothic" w:hAnsi="Century Gothic"/>
        </w:rPr>
        <w:t xml:space="preserve">El porcentaje máximo de subcontratación se determinará en los pliegos de la correspondiente licitación. Se permite la subcontratación que se estime más oportuna, sea a una entidad nacional o extranjera. </w:t>
      </w:r>
    </w:p>
    <w:p w14:paraId="6F22227A" w14:textId="01DBD75E" w:rsidR="003F7DE5" w:rsidRDefault="003F7DE5" w:rsidP="003F7DE5">
      <w:pPr>
        <w:jc w:val="both"/>
        <w:rPr>
          <w:rFonts w:ascii="Century Gothic" w:hAnsi="Century Gothic"/>
        </w:rPr>
      </w:pPr>
    </w:p>
    <w:p w14:paraId="4464C827" w14:textId="05BBDCA8" w:rsidR="002C4334" w:rsidRPr="001E3567" w:rsidRDefault="00B14B10" w:rsidP="003F7DE5">
      <w:pPr>
        <w:jc w:val="both"/>
        <w:rPr>
          <w:rFonts w:ascii="Century Gothic" w:hAnsi="Century Gothic"/>
        </w:rPr>
      </w:pPr>
      <w:r w:rsidRPr="001E3567">
        <w:rPr>
          <w:rFonts w:ascii="Century Gothic" w:hAnsi="Century Gothic"/>
          <w:b/>
          <w:bCs/>
        </w:rPr>
        <w:t>¿R</w:t>
      </w:r>
      <w:r w:rsidR="002C4334" w:rsidRPr="001E3567">
        <w:rPr>
          <w:rFonts w:ascii="Century Gothic" w:hAnsi="Century Gothic"/>
          <w:b/>
          <w:bCs/>
        </w:rPr>
        <w:t>especto a las colaboraciones externas para valoración económica... es posible subcontratar a entidades vinculadas (Unidad de I+D empresarial)?</w:t>
      </w:r>
      <w:r w:rsidRPr="001E3567">
        <w:rPr>
          <w:rFonts w:ascii="Century Gothic" w:hAnsi="Century Gothic"/>
          <w:b/>
          <w:bCs/>
        </w:rPr>
        <w:t xml:space="preserve"> </w:t>
      </w:r>
      <w:r w:rsidR="002C4334" w:rsidRPr="001E3567">
        <w:rPr>
          <w:rFonts w:ascii="Century Gothic" w:hAnsi="Century Gothic"/>
        </w:rPr>
        <w:t>Sí pueden subcontratarse entidades vinculadas</w:t>
      </w:r>
      <w:r w:rsidR="009D13D1" w:rsidRPr="001E3567">
        <w:rPr>
          <w:rFonts w:ascii="Century Gothic" w:hAnsi="Century Gothic"/>
        </w:rPr>
        <w:t xml:space="preserve"> en la futura licitación</w:t>
      </w:r>
      <w:r w:rsidRPr="001E3567">
        <w:rPr>
          <w:rFonts w:ascii="Century Gothic" w:hAnsi="Century Gothic"/>
        </w:rPr>
        <w:t>.</w:t>
      </w:r>
      <w:r w:rsidR="009D13D1" w:rsidRPr="001E3567">
        <w:rPr>
          <w:rFonts w:ascii="Century Gothic" w:hAnsi="Century Gothic"/>
        </w:rPr>
        <w:t xml:space="preserve"> No obstante</w:t>
      </w:r>
      <w:r w:rsidR="0033770A" w:rsidRPr="001E3567">
        <w:rPr>
          <w:rFonts w:ascii="Century Gothic" w:hAnsi="Century Gothic"/>
        </w:rPr>
        <w:t>, se aclara que</w:t>
      </w:r>
      <w:r w:rsidR="009E4419" w:rsidRPr="001E3567">
        <w:rPr>
          <w:rFonts w:ascii="Century Gothic" w:hAnsi="Century Gothic"/>
        </w:rPr>
        <w:t xml:space="preserve"> este tipo de entidades</w:t>
      </w:r>
      <w:r w:rsidR="0033770A" w:rsidRPr="001E3567">
        <w:rPr>
          <w:rFonts w:ascii="Century Gothic" w:hAnsi="Century Gothic"/>
        </w:rPr>
        <w:t xml:space="preserve"> no podrá</w:t>
      </w:r>
      <w:r w:rsidR="009E4419" w:rsidRPr="001E3567">
        <w:rPr>
          <w:rFonts w:ascii="Century Gothic" w:hAnsi="Century Gothic"/>
        </w:rPr>
        <w:t>n</w:t>
      </w:r>
      <w:r w:rsidR="0033770A" w:rsidRPr="001E3567">
        <w:rPr>
          <w:rFonts w:ascii="Century Gothic" w:hAnsi="Century Gothic"/>
        </w:rPr>
        <w:t xml:space="preserve"> </w:t>
      </w:r>
      <w:r w:rsidR="009E4419" w:rsidRPr="001E3567">
        <w:rPr>
          <w:rFonts w:ascii="Century Gothic" w:hAnsi="Century Gothic"/>
        </w:rPr>
        <w:t>presentar ofertas separadas a una misma licitación.</w:t>
      </w:r>
    </w:p>
    <w:p w14:paraId="130CD2F4" w14:textId="77777777" w:rsidR="00521053" w:rsidRDefault="00521053" w:rsidP="003F7DE5">
      <w:pPr>
        <w:jc w:val="both"/>
        <w:rPr>
          <w:rFonts w:ascii="Century Gothic" w:hAnsi="Century Gothic"/>
        </w:rPr>
      </w:pPr>
    </w:p>
    <w:p w14:paraId="475633EE" w14:textId="22BAB0EC" w:rsidR="003F7DE5" w:rsidRDefault="003F7DE5" w:rsidP="003F7DE5">
      <w:pPr>
        <w:jc w:val="both"/>
        <w:rPr>
          <w:rFonts w:ascii="Century Gothic" w:hAnsi="Century Gothic"/>
        </w:rPr>
      </w:pPr>
      <w:r w:rsidRPr="00B55BAE">
        <w:rPr>
          <w:rFonts w:ascii="Century Gothic" w:hAnsi="Century Gothic"/>
          <w:b/>
          <w:bCs/>
        </w:rPr>
        <w:t>10. ¿Puede participar una entidad extranjera como potencial futuro licitador? ¿Se pueden presentar propuestas en inglés?</w:t>
      </w:r>
      <w:r w:rsidRPr="003F7DE5">
        <w:rPr>
          <w:rFonts w:ascii="Century Gothic" w:hAnsi="Century Gothic"/>
        </w:rPr>
        <w:t xml:space="preserve"> La participación quedará restringida a entidades pertenecientes a países miembros de la Unión Europea o a países con Acuerdo de Estabilización y Asociación con la UE en el ámbito de la contratación pública. </w:t>
      </w:r>
      <w:proofErr w:type="gramStart"/>
      <w:r w:rsidRPr="003F7DE5">
        <w:rPr>
          <w:rFonts w:ascii="Century Gothic" w:hAnsi="Century Gothic"/>
        </w:rPr>
        <w:t>El idioma a utilizar</w:t>
      </w:r>
      <w:proofErr w:type="gramEnd"/>
      <w:r w:rsidRPr="003F7DE5">
        <w:rPr>
          <w:rFonts w:ascii="Century Gothic" w:hAnsi="Century Gothic"/>
        </w:rPr>
        <w:t xml:space="preserve"> en todo momento, tanto durante el proceso de Consulta Preliminar del Mercado como en la posterior fase de licitación, será el español. </w:t>
      </w:r>
    </w:p>
    <w:p w14:paraId="648B24C9" w14:textId="77777777" w:rsidR="003F7DE5" w:rsidRDefault="003F7DE5" w:rsidP="003F7DE5">
      <w:pPr>
        <w:jc w:val="both"/>
        <w:rPr>
          <w:rFonts w:ascii="Century Gothic" w:hAnsi="Century Gothic"/>
        </w:rPr>
      </w:pPr>
    </w:p>
    <w:p w14:paraId="35F09769" w14:textId="77777777" w:rsidR="009A3B9E" w:rsidRDefault="003F7DE5" w:rsidP="003F7DE5">
      <w:pPr>
        <w:jc w:val="both"/>
        <w:rPr>
          <w:rFonts w:ascii="Century Gothic" w:hAnsi="Century Gothic"/>
        </w:rPr>
      </w:pPr>
      <w:r w:rsidRPr="00B55BAE">
        <w:rPr>
          <w:rFonts w:ascii="Century Gothic" w:hAnsi="Century Gothic"/>
          <w:b/>
          <w:bCs/>
        </w:rPr>
        <w:t>11. En determinadas licitaciones que puedan afectar a temas de seguridad, ¿se permitirá el acceso o uso a determinada información?</w:t>
      </w:r>
      <w:r w:rsidRPr="003F7DE5">
        <w:rPr>
          <w:rFonts w:ascii="Century Gothic" w:hAnsi="Century Gothic"/>
        </w:rPr>
        <w:t xml:space="preserve"> En fase de licitación, en los pliegos se proporcionará la documentación básica para poder hacer los desarrollos o simulaciones pertinentes.</w:t>
      </w:r>
    </w:p>
    <w:p w14:paraId="596366DC" w14:textId="69ED6990" w:rsidR="003F7DE5" w:rsidRDefault="003F7DE5" w:rsidP="003F7DE5">
      <w:pPr>
        <w:jc w:val="both"/>
        <w:rPr>
          <w:rFonts w:ascii="Century Gothic" w:hAnsi="Century Gothic"/>
        </w:rPr>
      </w:pPr>
      <w:r w:rsidRPr="003F7DE5">
        <w:rPr>
          <w:rFonts w:ascii="Century Gothic" w:hAnsi="Century Gothic"/>
        </w:rPr>
        <w:lastRenderedPageBreak/>
        <w:t xml:space="preserve"> </w:t>
      </w:r>
    </w:p>
    <w:p w14:paraId="77166081" w14:textId="77777777" w:rsidR="003F7DE5" w:rsidRDefault="003F7DE5" w:rsidP="003F7DE5">
      <w:pPr>
        <w:jc w:val="both"/>
        <w:rPr>
          <w:rFonts w:ascii="Century Gothic" w:hAnsi="Century Gothic"/>
        </w:rPr>
      </w:pPr>
    </w:p>
    <w:p w14:paraId="6598F90B" w14:textId="6423860E" w:rsidR="003F7DE5" w:rsidRDefault="003F7DE5" w:rsidP="003F7DE5">
      <w:pPr>
        <w:jc w:val="both"/>
        <w:rPr>
          <w:rFonts w:ascii="Century Gothic" w:hAnsi="Century Gothic"/>
        </w:rPr>
      </w:pPr>
      <w:r w:rsidRPr="00B55BAE">
        <w:rPr>
          <w:rFonts w:ascii="Century Gothic" w:hAnsi="Century Gothic"/>
          <w:b/>
          <w:bCs/>
        </w:rPr>
        <w:t xml:space="preserve">12. En caso de que se publique la previsible licitación, ¿hay un plazo máximo para firmar el contrato para el desarrollo del prototipo/servicio de I+D? ¿Y para entregar el prototipo ya validado por el usuario final? </w:t>
      </w:r>
      <w:r w:rsidRPr="003F7DE5">
        <w:rPr>
          <w:rFonts w:ascii="Century Gothic" w:hAnsi="Century Gothic"/>
        </w:rPr>
        <w:t xml:space="preserve">Sí. Los Fondos que aplican a la previsible licitación tendrían origen en </w:t>
      </w:r>
      <w:r w:rsidR="005729D4" w:rsidRPr="005729D4">
        <w:rPr>
          <w:rFonts w:ascii="Century Gothic" w:hAnsi="Century Gothic"/>
        </w:rPr>
        <w:t xml:space="preserve">Fondos FEDER del </w:t>
      </w:r>
      <w:r w:rsidR="005729D4" w:rsidRPr="00A12F47">
        <w:rPr>
          <w:rFonts w:ascii="Century Gothic" w:hAnsi="Century Gothic"/>
        </w:rPr>
        <w:t xml:space="preserve">Programa Operativo </w:t>
      </w:r>
      <w:proofErr w:type="spellStart"/>
      <w:r w:rsidR="005729D4" w:rsidRPr="00A12F47">
        <w:rPr>
          <w:rFonts w:ascii="Century Gothic" w:hAnsi="Century Gothic"/>
        </w:rPr>
        <w:t>Plurirregional</w:t>
      </w:r>
      <w:proofErr w:type="spellEnd"/>
      <w:r w:rsidR="005729D4" w:rsidRPr="00A12F47">
        <w:rPr>
          <w:rFonts w:ascii="Century Gothic" w:hAnsi="Century Gothic"/>
        </w:rPr>
        <w:t xml:space="preserve"> de España (POPE) 2021-2027</w:t>
      </w:r>
      <w:r w:rsidRPr="00A12F47">
        <w:rPr>
          <w:rFonts w:ascii="Century Gothic" w:hAnsi="Century Gothic"/>
        </w:rPr>
        <w:t>,</w:t>
      </w:r>
      <w:r w:rsidR="005729D4" w:rsidRPr="00A12F47">
        <w:rPr>
          <w:rFonts w:ascii="Century Gothic" w:hAnsi="Century Gothic"/>
        </w:rPr>
        <w:t xml:space="preserve"> </w:t>
      </w:r>
      <w:r w:rsidRPr="00A12F47">
        <w:rPr>
          <w:rFonts w:ascii="Century Gothic" w:hAnsi="Century Gothic"/>
        </w:rPr>
        <w:t>por lo que el contrato debe</w:t>
      </w:r>
      <w:r w:rsidR="00A12F47">
        <w:rPr>
          <w:rFonts w:ascii="Century Gothic" w:hAnsi="Century Gothic"/>
        </w:rPr>
        <w:t>ría</w:t>
      </w:r>
      <w:r w:rsidRPr="00A12F47">
        <w:rPr>
          <w:rFonts w:ascii="Century Gothic" w:hAnsi="Century Gothic"/>
        </w:rPr>
        <w:t xml:space="preserve"> estar firmado antes de fin de diciembre de 2023 y la validación pertinente no puede concluir más tarde de diciembre de 202</w:t>
      </w:r>
      <w:r w:rsidR="00A12F47" w:rsidRPr="00A12F47">
        <w:rPr>
          <w:rFonts w:ascii="Century Gothic" w:hAnsi="Century Gothic"/>
        </w:rPr>
        <w:t>9</w:t>
      </w:r>
      <w:r w:rsidRPr="00A12F47">
        <w:rPr>
          <w:rFonts w:ascii="Century Gothic" w:hAnsi="Century Gothic"/>
        </w:rPr>
        <w:t>.</w:t>
      </w:r>
      <w:r w:rsidRPr="003F7DE5">
        <w:rPr>
          <w:rFonts w:ascii="Century Gothic" w:hAnsi="Century Gothic"/>
        </w:rPr>
        <w:t xml:space="preserve"> </w:t>
      </w:r>
    </w:p>
    <w:p w14:paraId="173AADDE" w14:textId="77777777" w:rsidR="003F7DE5" w:rsidRDefault="003F7DE5" w:rsidP="003F7DE5">
      <w:pPr>
        <w:jc w:val="both"/>
        <w:rPr>
          <w:rFonts w:ascii="Century Gothic" w:hAnsi="Century Gothic"/>
        </w:rPr>
      </w:pPr>
    </w:p>
    <w:p w14:paraId="07BED5E2" w14:textId="517C16B0" w:rsidR="003F7DE5" w:rsidRDefault="003F7DE5" w:rsidP="003F7DE5">
      <w:pPr>
        <w:jc w:val="both"/>
        <w:rPr>
          <w:rFonts w:ascii="Century Gothic" w:hAnsi="Century Gothic"/>
        </w:rPr>
      </w:pPr>
      <w:r w:rsidRPr="00B55BAE">
        <w:rPr>
          <w:rFonts w:ascii="Century Gothic" w:hAnsi="Century Gothic"/>
          <w:b/>
          <w:bCs/>
        </w:rPr>
        <w:t>13. ¿Podría NO participar en la Consulta Preliminar pero SÍ en la previsible futura licitación?</w:t>
      </w:r>
      <w:r w:rsidRPr="003F7DE5">
        <w:rPr>
          <w:rFonts w:ascii="Century Gothic" w:hAnsi="Century Gothic"/>
        </w:rPr>
        <w:t xml:space="preserve"> SI, pero en caso de que no se recibieran suficientes propuestas de soluciones innovadoras en algún “Área de Actuación” podría no ser llevada a cabo esa licitación. Además, ya que la información recogida durante la consulta va a servir para definir las características y condicionantes técnicos que deben ser tenidos en cuenta en la licitación, el riesgo que corre un operador que no concurra a la Consulta Preliminar de Mercado </w:t>
      </w:r>
      <w:r w:rsidRPr="00C90953">
        <w:rPr>
          <w:rFonts w:ascii="Century Gothic" w:hAnsi="Century Gothic"/>
        </w:rPr>
        <w:t xml:space="preserve">es que su solución no llegue a ser considerada </w:t>
      </w:r>
      <w:r w:rsidR="00C90953">
        <w:rPr>
          <w:rFonts w:ascii="Century Gothic" w:hAnsi="Century Gothic"/>
        </w:rPr>
        <w:t>para definir</w:t>
      </w:r>
      <w:r w:rsidR="00997BE9">
        <w:rPr>
          <w:rFonts w:ascii="Century Gothic" w:hAnsi="Century Gothic"/>
        </w:rPr>
        <w:t>,</w:t>
      </w:r>
      <w:r w:rsidRPr="00C90953">
        <w:rPr>
          <w:rFonts w:ascii="Century Gothic" w:hAnsi="Century Gothic"/>
        </w:rPr>
        <w:t xml:space="preserve"> </w:t>
      </w:r>
      <w:r w:rsidR="00997BE9">
        <w:rPr>
          <w:rFonts w:ascii="Century Gothic" w:hAnsi="Century Gothic"/>
        </w:rPr>
        <w:t xml:space="preserve">en la futura licitación, </w:t>
      </w:r>
      <w:r w:rsidRPr="00C90953">
        <w:rPr>
          <w:rFonts w:ascii="Century Gothic" w:hAnsi="Century Gothic"/>
        </w:rPr>
        <w:t>las opciones técnicas y económicamente viables para resolver el reto planteado.</w:t>
      </w:r>
      <w:r w:rsidRPr="003F7DE5">
        <w:rPr>
          <w:rFonts w:ascii="Century Gothic" w:hAnsi="Century Gothic"/>
        </w:rPr>
        <w:t xml:space="preserve"> </w:t>
      </w:r>
    </w:p>
    <w:p w14:paraId="4570C30B" w14:textId="77777777" w:rsidR="003F7DE5" w:rsidRDefault="003F7DE5" w:rsidP="003F7DE5">
      <w:pPr>
        <w:jc w:val="both"/>
        <w:rPr>
          <w:rFonts w:ascii="Century Gothic" w:hAnsi="Century Gothic"/>
        </w:rPr>
      </w:pPr>
    </w:p>
    <w:p w14:paraId="534B00C5" w14:textId="77777777" w:rsidR="003F7DE5" w:rsidRDefault="003F7DE5" w:rsidP="003F7DE5">
      <w:pPr>
        <w:jc w:val="both"/>
        <w:rPr>
          <w:rFonts w:ascii="Century Gothic" w:hAnsi="Century Gothic"/>
        </w:rPr>
      </w:pPr>
      <w:r w:rsidRPr="00B55BAE">
        <w:rPr>
          <w:rFonts w:ascii="Century Gothic" w:hAnsi="Century Gothic"/>
          <w:b/>
          <w:bCs/>
        </w:rPr>
        <w:t>14. ¿Cuál sería el procedimiento de adjudicación a utilizar en la posterior previsible licitación?</w:t>
      </w:r>
      <w:r w:rsidRPr="003F7DE5">
        <w:rPr>
          <w:rFonts w:ascii="Century Gothic" w:hAnsi="Century Gothic"/>
        </w:rPr>
        <w:t xml:space="preserve"> Con carácter general, el procedimiento de adjudicación será abierto. </w:t>
      </w:r>
    </w:p>
    <w:p w14:paraId="0C366B75" w14:textId="77777777" w:rsidR="009D13D1" w:rsidRDefault="009D13D1" w:rsidP="00B14B10">
      <w:pPr>
        <w:pStyle w:val="NormalWeb"/>
        <w:jc w:val="both"/>
        <w:rPr>
          <w:rFonts w:ascii="Century Gothic" w:eastAsiaTheme="minorHAnsi" w:hAnsi="Century Gothic" w:cstheme="minorBidi"/>
          <w:b/>
          <w:bCs/>
          <w:color w:val="FF0000"/>
          <w:lang w:eastAsia="en-US"/>
        </w:rPr>
      </w:pPr>
    </w:p>
    <w:p w14:paraId="5A469057" w14:textId="11CE3587" w:rsidR="003F7DE5" w:rsidRDefault="003F7DE5" w:rsidP="003F7DE5">
      <w:pPr>
        <w:jc w:val="both"/>
        <w:rPr>
          <w:rFonts w:ascii="Century Gothic" w:hAnsi="Century Gothic"/>
        </w:rPr>
      </w:pPr>
      <w:r w:rsidRPr="00B55BAE">
        <w:rPr>
          <w:rFonts w:ascii="Century Gothic" w:hAnsi="Century Gothic"/>
          <w:b/>
          <w:bCs/>
        </w:rPr>
        <w:t>15. ¿Qué quiere decir que la Compra Pública Precomercial (CPP) está fuera de la Ley de Contratos del Sector Público?</w:t>
      </w:r>
      <w:r w:rsidRPr="003F7DE5">
        <w:rPr>
          <w:rFonts w:ascii="Century Gothic" w:hAnsi="Century Gothic"/>
        </w:rPr>
        <w:t xml:space="preserve"> Según el artículo 8 de la LCSP 9/2017, los contratos de investigación y desarrollo están </w:t>
      </w:r>
      <w:r w:rsidR="00B55BAE" w:rsidRPr="003F7DE5">
        <w:rPr>
          <w:rFonts w:ascii="Century Gothic" w:hAnsi="Century Gothic"/>
        </w:rPr>
        <w:t>excluidos</w:t>
      </w:r>
      <w:r w:rsidRPr="003F7DE5">
        <w:rPr>
          <w:rFonts w:ascii="Century Gothic" w:hAnsi="Century Gothic"/>
        </w:rPr>
        <w:t xml:space="preserve"> de la misma. En cualquier caso, la CPP se debe sustentar bajo sus principios básicos: igualdad, no discriminación, publicidad, transparencia y concurrencia competitiva</w:t>
      </w:r>
      <w:r w:rsidR="00C9548C">
        <w:rPr>
          <w:rFonts w:ascii="Century Gothic" w:hAnsi="Century Gothic"/>
        </w:rPr>
        <w:t>, así como el de integridad</w:t>
      </w:r>
      <w:r w:rsidRPr="003F7DE5">
        <w:rPr>
          <w:rFonts w:ascii="Century Gothic" w:hAnsi="Century Gothic"/>
        </w:rPr>
        <w:t xml:space="preserve">. </w:t>
      </w:r>
    </w:p>
    <w:p w14:paraId="3994788C" w14:textId="77777777" w:rsidR="003F7DE5" w:rsidRDefault="003F7DE5" w:rsidP="003F7DE5">
      <w:pPr>
        <w:jc w:val="both"/>
        <w:rPr>
          <w:rFonts w:ascii="Century Gothic" w:hAnsi="Century Gothic"/>
        </w:rPr>
      </w:pPr>
    </w:p>
    <w:p w14:paraId="4E7A39EC" w14:textId="7C4DEAE7" w:rsidR="003F7DE5" w:rsidRDefault="003F7DE5" w:rsidP="003F7DE5">
      <w:pPr>
        <w:jc w:val="both"/>
        <w:rPr>
          <w:rFonts w:ascii="Century Gothic" w:hAnsi="Century Gothic"/>
        </w:rPr>
      </w:pPr>
      <w:r w:rsidRPr="00B55BAE">
        <w:rPr>
          <w:rFonts w:ascii="Century Gothic" w:hAnsi="Century Gothic"/>
          <w:b/>
          <w:bCs/>
        </w:rPr>
        <w:t xml:space="preserve">16. ¿En qué consiste la fase de validación? </w:t>
      </w:r>
      <w:r w:rsidRPr="003F7DE5">
        <w:rPr>
          <w:rFonts w:ascii="Century Gothic" w:hAnsi="Century Gothic"/>
        </w:rPr>
        <w:t>La validación preoperacional es la última fase de la licitación, es una fase corta en duración y previa a la cesión al Usuario Final para que continúe validando. DERECHOS DE PROPIEDAD INTELECTUAL (DPIs)</w:t>
      </w:r>
      <w:r w:rsidR="00A12F47">
        <w:rPr>
          <w:rFonts w:ascii="Century Gothic" w:hAnsi="Century Gothic"/>
        </w:rPr>
        <w:t>.</w:t>
      </w:r>
    </w:p>
    <w:p w14:paraId="0549D02A" w14:textId="77777777" w:rsidR="003F7DE5" w:rsidRDefault="003F7DE5" w:rsidP="003F7DE5">
      <w:pPr>
        <w:jc w:val="both"/>
        <w:rPr>
          <w:rFonts w:ascii="Century Gothic" w:hAnsi="Century Gothic"/>
        </w:rPr>
      </w:pPr>
    </w:p>
    <w:p w14:paraId="17BD9A2E" w14:textId="77777777" w:rsidR="003F7DE5" w:rsidRDefault="003F7DE5" w:rsidP="003F7DE5">
      <w:pPr>
        <w:jc w:val="both"/>
        <w:rPr>
          <w:rFonts w:ascii="Century Gothic" w:hAnsi="Century Gothic"/>
        </w:rPr>
      </w:pPr>
      <w:r w:rsidRPr="00B55BAE">
        <w:rPr>
          <w:rFonts w:ascii="Century Gothic" w:hAnsi="Century Gothic"/>
          <w:b/>
          <w:bCs/>
        </w:rPr>
        <w:lastRenderedPageBreak/>
        <w:t xml:space="preserve">17. Si un participante no puede mencionar en su propuesta soluciones patentadas o marcas, ¿es mejor que presente la solución como una explicación de, en su caso, las mismas, sus funcionalidades, etc. sin usar marca alguna? </w:t>
      </w:r>
      <w:r w:rsidRPr="003F7DE5">
        <w:rPr>
          <w:rFonts w:ascii="Century Gothic" w:hAnsi="Century Gothic"/>
        </w:rPr>
        <w:t xml:space="preserve">Las conclusiones de la CPM se utilizarán de base para la redacción de la posterior licitación, que no podrá restringir la competencia por el hecho de haberse celebrado las CPM. La inclusión de marcas, o productos concretos sujetos a patente en la licitación podría restringir la competencia y es por ello por lo que la resolución que rige la CPM solicita que las propuestas no las incluyan. </w:t>
      </w:r>
    </w:p>
    <w:p w14:paraId="5F2C9B47" w14:textId="77777777" w:rsidR="003F7DE5" w:rsidRDefault="003F7DE5" w:rsidP="003F7DE5">
      <w:pPr>
        <w:jc w:val="both"/>
        <w:rPr>
          <w:rFonts w:ascii="Century Gothic" w:hAnsi="Century Gothic"/>
        </w:rPr>
      </w:pPr>
    </w:p>
    <w:p w14:paraId="416D3DF3" w14:textId="7F266ED5" w:rsidR="003F7DE5" w:rsidRDefault="003F7DE5" w:rsidP="003F7DE5">
      <w:pPr>
        <w:jc w:val="both"/>
        <w:rPr>
          <w:rFonts w:ascii="Century Gothic" w:hAnsi="Century Gothic"/>
        </w:rPr>
      </w:pPr>
      <w:r w:rsidRPr="00B55BAE">
        <w:rPr>
          <w:rFonts w:ascii="Century Gothic" w:hAnsi="Century Gothic"/>
          <w:b/>
          <w:bCs/>
        </w:rPr>
        <w:t xml:space="preserve">18. ¿Cómo se maneja la Propiedad Intelectual dentro de las CPM? </w:t>
      </w:r>
      <w:r w:rsidRPr="003F7DE5">
        <w:rPr>
          <w:rFonts w:ascii="Century Gothic" w:hAnsi="Century Gothic"/>
        </w:rPr>
        <w:t xml:space="preserve">El uso del contenido de las propuestas se limita exclusivamente a su posible inclusión en las especificaciones funcionales o técnicas de un eventual procedimiento de contratación posterior. </w:t>
      </w:r>
    </w:p>
    <w:p w14:paraId="51E30055" w14:textId="149D6F8C" w:rsidR="003F7DE5" w:rsidRDefault="00E1681C" w:rsidP="003F7DE5">
      <w:pPr>
        <w:jc w:val="both"/>
        <w:rPr>
          <w:rFonts w:ascii="Century Gothic" w:hAnsi="Century Gothic"/>
        </w:rPr>
      </w:pPr>
      <w:r w:rsidRPr="00E1681C">
        <w:rPr>
          <w:rFonts w:ascii="Century Gothic" w:hAnsi="Century Gothic"/>
        </w:rPr>
        <w:t>Según la normativa de aplicación, art. 115 Ley 9/2017 de Contratos del Sector Público, “en ningún caso durante el proceso de consultas al que se refiere el presente artículo, el órgano de contratación podrá revelar a los participantes en el mismo las soluciones propuestas por los otros participantes, siendo las mismas solo conocidas íntegramente por aquel.”</w:t>
      </w:r>
    </w:p>
    <w:p w14:paraId="76CD02AE" w14:textId="77777777" w:rsidR="00E1681C" w:rsidRDefault="00E1681C" w:rsidP="003F7DE5">
      <w:pPr>
        <w:jc w:val="both"/>
        <w:rPr>
          <w:rFonts w:ascii="Century Gothic" w:hAnsi="Century Gothic"/>
        </w:rPr>
      </w:pPr>
    </w:p>
    <w:p w14:paraId="2157A980" w14:textId="7523288C" w:rsidR="003F7DE5" w:rsidRDefault="003F7DE5" w:rsidP="003F7DE5">
      <w:pPr>
        <w:jc w:val="both"/>
        <w:rPr>
          <w:rFonts w:ascii="Century Gothic" w:hAnsi="Century Gothic"/>
        </w:rPr>
      </w:pPr>
      <w:r w:rsidRPr="00B55BAE">
        <w:rPr>
          <w:rFonts w:ascii="Century Gothic" w:hAnsi="Century Gothic"/>
          <w:b/>
          <w:bCs/>
        </w:rPr>
        <w:t>19. ¿Cuál va a ser el tratamiento de los DPI que se generen en el desarrollo futuro de la solución?</w:t>
      </w:r>
      <w:r w:rsidRPr="003F7DE5">
        <w:rPr>
          <w:rFonts w:ascii="Century Gothic" w:hAnsi="Century Gothic"/>
        </w:rPr>
        <w:t xml:space="preserve"> De conformidad con lo previsto en el régimen aplicable a la Compra Pública Precomercial (CPP), de manera genérica CDTI cederá los derechos de propiedad intelectual nuevos resultantes del contrato a los operadores económicos participantes (empresas desarrolladoras), pero conservará el derecho de usar los resultados de los servicios de investigación y desarrollo de forma gratuita, así como el derecho de otorgar (o exigir a los operadores económicos que otorguen) una licencia a terceros conforme a condiciones de mercado justas y razonables. Por lo que se refiere a los usuarios públicos, al ser cesionarios del producto o servicio de I+D adquiridos por CDTI, tendrán los mismos derechos que éste en el eventual procedimiento de contratación pública posterior para desplegar las soluciones adquiridas. </w:t>
      </w:r>
    </w:p>
    <w:p w14:paraId="324F023F" w14:textId="77777777" w:rsidR="003F7DE5" w:rsidRDefault="003F7DE5" w:rsidP="003F7DE5">
      <w:pPr>
        <w:jc w:val="both"/>
        <w:rPr>
          <w:rFonts w:ascii="Century Gothic" w:hAnsi="Century Gothic"/>
        </w:rPr>
      </w:pPr>
    </w:p>
    <w:p w14:paraId="11648067" w14:textId="6C622CAE" w:rsidR="003F7DE5" w:rsidRDefault="003F7DE5" w:rsidP="003F7DE5">
      <w:pPr>
        <w:jc w:val="both"/>
        <w:rPr>
          <w:rFonts w:ascii="Century Gothic" w:hAnsi="Century Gothic"/>
        </w:rPr>
      </w:pPr>
      <w:r w:rsidRPr="00B55BAE">
        <w:rPr>
          <w:rFonts w:ascii="Century Gothic" w:hAnsi="Century Gothic"/>
          <w:b/>
          <w:bCs/>
        </w:rPr>
        <w:t xml:space="preserve">20. ¿Cómo se va a regular la propiedad intelectual y las licencias derivadas de la innovación objeto de las licitaciones de CPP ulteriores a la CPM? </w:t>
      </w:r>
      <w:r w:rsidRPr="003F7DE5">
        <w:rPr>
          <w:rFonts w:ascii="Century Gothic" w:hAnsi="Century Gothic"/>
        </w:rPr>
        <w:t xml:space="preserve">La gestión de DPIs se regulará en los futuros pliegos de condiciones por los que se rijan las </w:t>
      </w:r>
      <w:proofErr w:type="spellStart"/>
      <w:r w:rsidRPr="003F7DE5">
        <w:rPr>
          <w:rFonts w:ascii="Century Gothic" w:hAnsi="Century Gothic"/>
        </w:rPr>
        <w:t>CPPs</w:t>
      </w:r>
      <w:proofErr w:type="spellEnd"/>
      <w:r w:rsidRPr="003F7DE5">
        <w:rPr>
          <w:rFonts w:ascii="Century Gothic" w:hAnsi="Century Gothic"/>
        </w:rPr>
        <w:t xml:space="preserve">. </w:t>
      </w:r>
    </w:p>
    <w:p w14:paraId="7F00D8A6" w14:textId="77777777" w:rsidR="003F7DE5" w:rsidRDefault="003F7DE5" w:rsidP="003F7DE5">
      <w:pPr>
        <w:jc w:val="both"/>
        <w:rPr>
          <w:rFonts w:ascii="Century Gothic" w:hAnsi="Century Gothic"/>
        </w:rPr>
      </w:pPr>
    </w:p>
    <w:p w14:paraId="5552EFC6" w14:textId="08A7134F" w:rsidR="00504DC0" w:rsidRDefault="003F7DE5" w:rsidP="003F7DE5">
      <w:pPr>
        <w:jc w:val="both"/>
        <w:rPr>
          <w:rFonts w:ascii="Century Gothic" w:hAnsi="Century Gothic"/>
        </w:rPr>
      </w:pPr>
      <w:r w:rsidRPr="00B55BAE">
        <w:rPr>
          <w:rFonts w:ascii="Century Gothic" w:hAnsi="Century Gothic"/>
          <w:b/>
          <w:bCs/>
        </w:rPr>
        <w:lastRenderedPageBreak/>
        <w:t>21. ¿Dónde se publicitará la información relativa a los avances en la definición de los retos tecnológicos?</w:t>
      </w:r>
      <w:r w:rsidRPr="003F7DE5">
        <w:rPr>
          <w:rFonts w:ascii="Century Gothic" w:hAnsi="Century Gothic"/>
        </w:rPr>
        <w:t xml:space="preserve"> CDTI, con el fin de garantizar la transparencia e igualdad de oportunidades entre los participantes de los eventuales procedimientos de contratación que se puedan convocar, publicitará la información relativa a la consulta preliminar de mercado, pero en ningún caso recogerá explícitamente dichas soluciones.</w:t>
      </w:r>
    </w:p>
    <w:p w14:paraId="0C9C77FF" w14:textId="6BCFF3B1" w:rsidR="00203FF2" w:rsidRDefault="00203FF2" w:rsidP="003F7DE5">
      <w:pPr>
        <w:jc w:val="both"/>
        <w:rPr>
          <w:rFonts w:ascii="Century Gothic" w:hAnsi="Century Gothic"/>
        </w:rPr>
      </w:pPr>
    </w:p>
    <w:p w14:paraId="23C4D11B" w14:textId="77777777" w:rsidR="00203FF2" w:rsidRPr="003F7DE5" w:rsidRDefault="00203FF2" w:rsidP="003F7DE5">
      <w:pPr>
        <w:jc w:val="both"/>
        <w:rPr>
          <w:rFonts w:ascii="Century Gothic" w:hAnsi="Century Gothic"/>
        </w:rPr>
      </w:pPr>
    </w:p>
    <w:sectPr w:rsidR="00203FF2" w:rsidRPr="003F7DE5" w:rsidSect="00DE19E6">
      <w:headerReference w:type="even" r:id="rId11"/>
      <w:headerReference w:type="default" r:id="rId12"/>
      <w:footerReference w:type="even" r:id="rId13"/>
      <w:footerReference w:type="default" r:id="rId14"/>
      <w:headerReference w:type="first" r:id="rId15"/>
      <w:footerReference w:type="first" r:id="rId16"/>
      <w:pgSz w:w="11906" w:h="16838"/>
      <w:pgMar w:top="3226"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BA4F" w14:textId="77777777" w:rsidR="00CA5889" w:rsidRDefault="00CA5889" w:rsidP="00553285">
      <w:r>
        <w:separator/>
      </w:r>
    </w:p>
  </w:endnote>
  <w:endnote w:type="continuationSeparator" w:id="0">
    <w:p w14:paraId="732CCCBD" w14:textId="77777777" w:rsidR="00CA5889" w:rsidRDefault="00CA5889" w:rsidP="0055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6435" w14:textId="77777777" w:rsidR="00B100DE" w:rsidRDefault="00B100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CF88" w14:textId="77777777" w:rsidR="00AB5827" w:rsidRPr="00A4597A" w:rsidRDefault="00A4597A" w:rsidP="00A4597A">
    <w:pPr>
      <w:pStyle w:val="Piedepgina"/>
      <w:tabs>
        <w:tab w:val="left" w:pos="5360"/>
      </w:tabs>
      <w:jc w:val="center"/>
      <w:rPr>
        <w:rFonts w:ascii="Century Gothic" w:hAnsi="Century Gothic"/>
        <w:color w:val="548DD4" w:themeColor="text2" w:themeTint="99"/>
        <w:sz w:val="16"/>
        <w:szCs w:val="16"/>
      </w:rPr>
    </w:pPr>
    <w:r>
      <w:rPr>
        <w:noProof/>
        <w:lang w:val="es-ES" w:eastAsia="es-ES"/>
      </w:rPr>
      <mc:AlternateContent>
        <mc:Choice Requires="wps">
          <w:drawing>
            <wp:anchor distT="45720" distB="45720" distL="114300" distR="114300" simplePos="0" relativeHeight="251658752" behindDoc="1" locked="0" layoutInCell="1" allowOverlap="1" wp14:anchorId="7600B6B7" wp14:editId="146E7D46">
              <wp:simplePos x="0" y="0"/>
              <wp:positionH relativeFrom="column">
                <wp:posOffset>-927735</wp:posOffset>
              </wp:positionH>
              <wp:positionV relativeFrom="paragraph">
                <wp:posOffset>-216535</wp:posOffset>
              </wp:positionV>
              <wp:extent cx="1501140" cy="744220"/>
              <wp:effectExtent l="0" t="0" r="381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74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8A465" w14:textId="77777777" w:rsidR="00A4597A" w:rsidRPr="00742316" w:rsidRDefault="00A4597A" w:rsidP="00A4597A">
                          <w:pPr>
                            <w:rPr>
                              <w:rFonts w:ascii="Verdana" w:hAnsi="Verdana"/>
                              <w:sz w:val="15"/>
                              <w:szCs w:val="15"/>
                            </w:rPr>
                          </w:pPr>
                          <w:r w:rsidRPr="00742316">
                            <w:rPr>
                              <w:rFonts w:ascii="Verdana" w:hAnsi="Verdana"/>
                              <w:sz w:val="15"/>
                              <w:szCs w:val="15"/>
                            </w:rPr>
                            <w:t>Fondo Europeo de Desarrollo Regional (FEDER)</w:t>
                          </w:r>
                          <w:r w:rsidRPr="00742316">
                            <w:rPr>
                              <w:rFonts w:ascii="Gill Sans MT" w:hAnsi="Gill Sans MT"/>
                              <w:sz w:val="15"/>
                              <w:szCs w:val="15"/>
                            </w:rPr>
                            <w:t xml:space="preserve"> </w:t>
                          </w:r>
                        </w:p>
                        <w:p w14:paraId="455798D9" w14:textId="77777777" w:rsidR="00A4597A" w:rsidRPr="00993A19" w:rsidRDefault="00A4597A" w:rsidP="00A4597A">
                          <w:pPr>
                            <w:rPr>
                              <w:rFonts w:ascii="Verdana" w:hAnsi="Verdana"/>
                              <w:color w:val="2F5496"/>
                              <w:sz w:val="14"/>
                              <w:szCs w:val="14"/>
                            </w:rPr>
                          </w:pPr>
                        </w:p>
                        <w:p w14:paraId="4C8F94DF" w14:textId="77777777" w:rsidR="00A4597A" w:rsidRPr="00993A19" w:rsidRDefault="00A4597A" w:rsidP="00A4597A">
                          <w:pPr>
                            <w:rPr>
                              <w:rFonts w:ascii="Verdana" w:hAnsi="Verdana"/>
                              <w:color w:val="2F5496"/>
                              <w:sz w:val="14"/>
                              <w:szCs w:val="14"/>
                            </w:rPr>
                          </w:pPr>
                          <w:r w:rsidRPr="00993A19">
                            <w:rPr>
                              <w:rFonts w:ascii="Verdana" w:hAnsi="Verdana"/>
                              <w:color w:val="2F5496"/>
                              <w:sz w:val="14"/>
                              <w:szCs w:val="14"/>
                            </w:rPr>
                            <w:t>Una manera de hacer Europa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00B6B7" id="_x0000_t202" coordsize="21600,21600" o:spt="202" path="m,l,21600r21600,l21600,xe">
              <v:stroke joinstyle="miter"/>
              <v:path gradientshapeok="t" o:connecttype="rect"/>
            </v:shapetype>
            <v:shape id="Cuadro de texto 1" o:spid="_x0000_s1026" type="#_x0000_t202" style="position:absolute;left:0;text-align:left;margin-left:-73.05pt;margin-top:-17.05pt;width:118.2pt;height:58.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" stroked="f">
              <v:textbox>
                <w:txbxContent>
                  <w:p w14:paraId="6DC8A465" w14:textId="77777777" w:rsidR="00A4597A" w:rsidRPr="00742316" w:rsidRDefault="00A4597A" w:rsidP="00A4597A">
                    <w:pPr>
                      <w:rPr>
                        <w:rFonts w:ascii="Verdana" w:hAnsi="Verdana"/>
                        <w:sz w:val="15"/>
                        <w:szCs w:val="15"/>
                      </w:rPr>
                    </w:pPr>
                    <w:r w:rsidRPr="00742316">
                      <w:rPr>
                        <w:rFonts w:ascii="Verdana" w:hAnsi="Verdana"/>
                        <w:sz w:val="15"/>
                        <w:szCs w:val="15"/>
                      </w:rPr>
                      <w:t>Fondo Europeo de Desarrollo Regional (FEDER)</w:t>
                    </w:r>
                    <w:r w:rsidRPr="00742316">
                      <w:rPr>
                        <w:rFonts w:ascii="Gill Sans MT" w:hAnsi="Gill Sans MT"/>
                        <w:sz w:val="15"/>
                        <w:szCs w:val="15"/>
                      </w:rPr>
                      <w:t xml:space="preserve"> </w:t>
                    </w:r>
                  </w:p>
                  <w:p w14:paraId="455798D9" w14:textId="77777777" w:rsidR="00A4597A" w:rsidRPr="00993A19" w:rsidRDefault="00A4597A" w:rsidP="00A4597A">
                    <w:pPr>
                      <w:rPr>
                        <w:rFonts w:ascii="Verdana" w:hAnsi="Verdana"/>
                        <w:color w:val="2F5496"/>
                        <w:sz w:val="14"/>
                        <w:szCs w:val="14"/>
                      </w:rPr>
                    </w:pPr>
                  </w:p>
                  <w:p w14:paraId="4C8F94DF" w14:textId="77777777" w:rsidR="00A4597A" w:rsidRPr="00993A19" w:rsidRDefault="00A4597A" w:rsidP="00A4597A">
                    <w:pPr>
                      <w:rPr>
                        <w:rFonts w:ascii="Verdana" w:hAnsi="Verdana"/>
                        <w:color w:val="2F5496"/>
                        <w:sz w:val="14"/>
                        <w:szCs w:val="14"/>
                      </w:rPr>
                    </w:pPr>
                    <w:r w:rsidRPr="00993A19">
                      <w:rPr>
                        <w:rFonts w:ascii="Verdana" w:hAnsi="Verdana"/>
                        <w:color w:val="2F5496"/>
                        <w:sz w:val="14"/>
                        <w:szCs w:val="14"/>
                      </w:rPr>
                      <w:t>Una manera de hacer Europa</w:t>
                    </w:r>
                  </w:p>
                </w:txbxContent>
              </v:textbox>
            </v:shape>
          </w:pict>
        </mc:Fallback>
      </mc:AlternateContent>
    </w:r>
    <w:r w:rsidR="00AB5827" w:rsidRPr="0030518A">
      <w:rPr>
        <w:rFonts w:ascii="Century Gothic" w:hAnsi="Century Gothic"/>
        <w:b/>
        <w:bCs/>
        <w:color w:val="548DD4" w:themeColor="text2" w:themeTint="99"/>
        <w:sz w:val="15"/>
        <w:szCs w:val="15"/>
      </w:rPr>
      <w:t>CDTI, E.P.E</w:t>
    </w:r>
    <w:r w:rsidR="00AB5827" w:rsidRPr="00AB5827">
      <w:rPr>
        <w:rFonts w:ascii="Century Gothic" w:hAnsi="Century Gothic"/>
        <w:b/>
        <w:bCs/>
        <w:color w:val="009ED6"/>
        <w:sz w:val="15"/>
        <w:szCs w:val="15"/>
      </w:rPr>
      <w:t>.</w:t>
    </w:r>
    <w:r w:rsidR="0030518A">
      <w:rPr>
        <w:rFonts w:ascii="Century Gothic" w:hAnsi="Century Gothic"/>
        <w:b/>
        <w:bCs/>
        <w:color w:val="009ED6"/>
        <w:sz w:val="15"/>
        <w:szCs w:val="15"/>
      </w:rPr>
      <w:t xml:space="preserve"> - </w:t>
    </w:r>
    <w:r w:rsidR="00AB5827">
      <w:rPr>
        <w:rFonts w:ascii="Century Gothic" w:hAnsi="Century Gothic"/>
        <w:sz w:val="15"/>
        <w:szCs w:val="15"/>
      </w:rPr>
      <w:t xml:space="preserve">Cid, 4 – 28001 Madrid (España) – </w:t>
    </w:r>
    <w:r w:rsidR="00AB5827" w:rsidRPr="0030518A">
      <w:rPr>
        <w:rFonts w:ascii="Century Gothic" w:hAnsi="Century Gothic"/>
        <w:color w:val="548DD4" w:themeColor="text2" w:themeTint="99"/>
        <w:sz w:val="15"/>
        <w:szCs w:val="15"/>
      </w:rPr>
      <w:t>www.cdti.es</w:t>
    </w:r>
  </w:p>
  <w:p w14:paraId="38F67B95" w14:textId="77777777" w:rsidR="00906DA6" w:rsidRDefault="00906D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B904" w14:textId="77777777" w:rsidR="00B100DE" w:rsidRDefault="00B100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CF36" w14:textId="77777777" w:rsidR="00CA5889" w:rsidRDefault="00CA5889" w:rsidP="00553285">
      <w:r>
        <w:separator/>
      </w:r>
    </w:p>
  </w:footnote>
  <w:footnote w:type="continuationSeparator" w:id="0">
    <w:p w14:paraId="60F443B3" w14:textId="77777777" w:rsidR="00CA5889" w:rsidRDefault="00CA5889" w:rsidP="00553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C3F3" w14:textId="77777777" w:rsidR="00B100DE" w:rsidRDefault="00B100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2B24" w14:textId="77777777" w:rsidR="0030518A" w:rsidRDefault="00D344D8" w:rsidP="00841354">
    <w:pPr>
      <w:jc w:val="right"/>
      <w:rPr>
        <w:noProof/>
        <w:lang w:eastAsia="es-ES"/>
      </w:rPr>
    </w:pPr>
    <w:r>
      <w:rPr>
        <w:noProof/>
        <w:lang w:eastAsia="es-ES"/>
      </w:rPr>
      <w:drawing>
        <wp:inline distT="0" distB="0" distL="0" distR="0" wp14:anchorId="74A7A60A" wp14:editId="5E99B6FB">
          <wp:extent cx="2979320" cy="6000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6853" cy="603606"/>
                  </a:xfrm>
                  <a:prstGeom prst="rect">
                    <a:avLst/>
                  </a:prstGeom>
                  <a:noFill/>
                  <a:ln>
                    <a:noFill/>
                  </a:ln>
                </pic:spPr>
              </pic:pic>
            </a:graphicData>
          </a:graphic>
        </wp:inline>
      </w:drawing>
    </w:r>
    <w:r w:rsidR="0045217C">
      <w:rPr>
        <w:noProof/>
        <w:lang w:eastAsia="es-ES"/>
      </w:rPr>
      <w:drawing>
        <wp:anchor distT="0" distB="0" distL="114300" distR="114300" simplePos="0" relativeHeight="251678208" behindDoc="0" locked="0" layoutInCell="1" allowOverlap="1" wp14:anchorId="4A0DA402" wp14:editId="0859BEFD">
          <wp:simplePos x="0" y="0"/>
          <wp:positionH relativeFrom="column">
            <wp:posOffset>-413385</wp:posOffset>
          </wp:positionH>
          <wp:positionV relativeFrom="page">
            <wp:posOffset>437515</wp:posOffset>
          </wp:positionV>
          <wp:extent cx="843675" cy="695325"/>
          <wp:effectExtent l="0" t="0" r="0" b="0"/>
          <wp:wrapNone/>
          <wp:docPr id="5" name="Imagen 5" descr="C:\Users\rar\OneDrive - Centro para el Desarrollo Tecnológico Industrial (CDTI), E.P.E\Logos\UE-Emblema Unión Europea (para documen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r\OneDrive - Centro para el Desarrollo Tecnológico Industrial (CDTI), E.P.E\Logos\UE-Emblema Unión Europea (para documento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36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7CCE8" w14:textId="77777777" w:rsidR="0030518A" w:rsidRDefault="0030518A" w:rsidP="00083538">
    <w:pPr>
      <w:rPr>
        <w:noProof/>
        <w:lang w:eastAsia="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1FC0" w14:textId="77777777" w:rsidR="00B100DE" w:rsidRDefault="00B100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BD4"/>
    <w:multiLevelType w:val="hybridMultilevel"/>
    <w:tmpl w:val="118ED3B0"/>
    <w:lvl w:ilvl="0" w:tplc="CD76DC90">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4615B05"/>
    <w:multiLevelType w:val="hybridMultilevel"/>
    <w:tmpl w:val="4712E1A8"/>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43158704">
    <w:abstractNumId w:val="0"/>
  </w:num>
  <w:num w:numId="2" w16cid:durableId="1960648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F4"/>
    <w:rsid w:val="00005DE5"/>
    <w:rsid w:val="00012D6D"/>
    <w:rsid w:val="00070297"/>
    <w:rsid w:val="0007228D"/>
    <w:rsid w:val="00074077"/>
    <w:rsid w:val="00083538"/>
    <w:rsid w:val="000D1114"/>
    <w:rsid w:val="001114F7"/>
    <w:rsid w:val="00120279"/>
    <w:rsid w:val="001358F4"/>
    <w:rsid w:val="00171DAB"/>
    <w:rsid w:val="00195EC3"/>
    <w:rsid w:val="001D0B4A"/>
    <w:rsid w:val="001D5F10"/>
    <w:rsid w:val="001D7B5F"/>
    <w:rsid w:val="001E1D97"/>
    <w:rsid w:val="001E3567"/>
    <w:rsid w:val="00203586"/>
    <w:rsid w:val="00203FF2"/>
    <w:rsid w:val="00205B2E"/>
    <w:rsid w:val="00236B01"/>
    <w:rsid w:val="002531CD"/>
    <w:rsid w:val="002A57F1"/>
    <w:rsid w:val="002C4334"/>
    <w:rsid w:val="002C7C84"/>
    <w:rsid w:val="002E3328"/>
    <w:rsid w:val="00302A1C"/>
    <w:rsid w:val="0030518A"/>
    <w:rsid w:val="00315627"/>
    <w:rsid w:val="00327F1A"/>
    <w:rsid w:val="0033738F"/>
    <w:rsid w:val="0033770A"/>
    <w:rsid w:val="00360A9A"/>
    <w:rsid w:val="00362655"/>
    <w:rsid w:val="00371EDF"/>
    <w:rsid w:val="003A5FB7"/>
    <w:rsid w:val="003E17AD"/>
    <w:rsid w:val="003F7DE5"/>
    <w:rsid w:val="00402CDA"/>
    <w:rsid w:val="004155C5"/>
    <w:rsid w:val="00416C6C"/>
    <w:rsid w:val="00421BD1"/>
    <w:rsid w:val="00422D1A"/>
    <w:rsid w:val="0045217C"/>
    <w:rsid w:val="004628E5"/>
    <w:rsid w:val="00472C45"/>
    <w:rsid w:val="00480ADB"/>
    <w:rsid w:val="004C2F94"/>
    <w:rsid w:val="004E0FD3"/>
    <w:rsid w:val="004F3251"/>
    <w:rsid w:val="00504DC0"/>
    <w:rsid w:val="00506BC5"/>
    <w:rsid w:val="00521053"/>
    <w:rsid w:val="00553285"/>
    <w:rsid w:val="005729D4"/>
    <w:rsid w:val="00595DF5"/>
    <w:rsid w:val="00597D72"/>
    <w:rsid w:val="005A5B47"/>
    <w:rsid w:val="005B1EC2"/>
    <w:rsid w:val="005B4915"/>
    <w:rsid w:val="005E2909"/>
    <w:rsid w:val="005E500C"/>
    <w:rsid w:val="00603E88"/>
    <w:rsid w:val="0061426C"/>
    <w:rsid w:val="00614915"/>
    <w:rsid w:val="00616547"/>
    <w:rsid w:val="00646074"/>
    <w:rsid w:val="00650F3D"/>
    <w:rsid w:val="00653792"/>
    <w:rsid w:val="0068536B"/>
    <w:rsid w:val="006C1747"/>
    <w:rsid w:val="006D5862"/>
    <w:rsid w:val="006E22D4"/>
    <w:rsid w:val="006E7676"/>
    <w:rsid w:val="0073432B"/>
    <w:rsid w:val="007403CD"/>
    <w:rsid w:val="00742316"/>
    <w:rsid w:val="00752B56"/>
    <w:rsid w:val="007661F1"/>
    <w:rsid w:val="007758A9"/>
    <w:rsid w:val="007759B1"/>
    <w:rsid w:val="007936E9"/>
    <w:rsid w:val="00794500"/>
    <w:rsid w:val="007A51DB"/>
    <w:rsid w:val="007B49BA"/>
    <w:rsid w:val="00811763"/>
    <w:rsid w:val="008400FE"/>
    <w:rsid w:val="00841354"/>
    <w:rsid w:val="00842F84"/>
    <w:rsid w:val="00844F26"/>
    <w:rsid w:val="00854D12"/>
    <w:rsid w:val="00855F70"/>
    <w:rsid w:val="008A34AC"/>
    <w:rsid w:val="008B1A91"/>
    <w:rsid w:val="008B7729"/>
    <w:rsid w:val="008C78FB"/>
    <w:rsid w:val="008E1647"/>
    <w:rsid w:val="00906DA6"/>
    <w:rsid w:val="009130DB"/>
    <w:rsid w:val="0092548C"/>
    <w:rsid w:val="009270EE"/>
    <w:rsid w:val="00955998"/>
    <w:rsid w:val="00970016"/>
    <w:rsid w:val="00997BE9"/>
    <w:rsid w:val="009A3B9E"/>
    <w:rsid w:val="009D13D1"/>
    <w:rsid w:val="009E4419"/>
    <w:rsid w:val="00A12F47"/>
    <w:rsid w:val="00A2664E"/>
    <w:rsid w:val="00A307A3"/>
    <w:rsid w:val="00A434A7"/>
    <w:rsid w:val="00A4597A"/>
    <w:rsid w:val="00A4755B"/>
    <w:rsid w:val="00A51FF3"/>
    <w:rsid w:val="00A66C84"/>
    <w:rsid w:val="00A826CC"/>
    <w:rsid w:val="00A93B3B"/>
    <w:rsid w:val="00AB3B72"/>
    <w:rsid w:val="00AB5827"/>
    <w:rsid w:val="00AC44BF"/>
    <w:rsid w:val="00AC6941"/>
    <w:rsid w:val="00B100DE"/>
    <w:rsid w:val="00B14B10"/>
    <w:rsid w:val="00B22E76"/>
    <w:rsid w:val="00B272F8"/>
    <w:rsid w:val="00B3541A"/>
    <w:rsid w:val="00B55BAE"/>
    <w:rsid w:val="00B61BD0"/>
    <w:rsid w:val="00B75CE5"/>
    <w:rsid w:val="00B77FF7"/>
    <w:rsid w:val="00BA2B21"/>
    <w:rsid w:val="00BA4394"/>
    <w:rsid w:val="00BD7389"/>
    <w:rsid w:val="00BE0EC1"/>
    <w:rsid w:val="00BE6F21"/>
    <w:rsid w:val="00BE7847"/>
    <w:rsid w:val="00C03D71"/>
    <w:rsid w:val="00C05084"/>
    <w:rsid w:val="00C10E85"/>
    <w:rsid w:val="00C409F5"/>
    <w:rsid w:val="00C90953"/>
    <w:rsid w:val="00C950AB"/>
    <w:rsid w:val="00C9548C"/>
    <w:rsid w:val="00CA2AE2"/>
    <w:rsid w:val="00CA5889"/>
    <w:rsid w:val="00CA598C"/>
    <w:rsid w:val="00CA7F73"/>
    <w:rsid w:val="00CC18C1"/>
    <w:rsid w:val="00CF39BB"/>
    <w:rsid w:val="00D25782"/>
    <w:rsid w:val="00D344D8"/>
    <w:rsid w:val="00D87101"/>
    <w:rsid w:val="00D96C12"/>
    <w:rsid w:val="00DE19E6"/>
    <w:rsid w:val="00E06A49"/>
    <w:rsid w:val="00E1681C"/>
    <w:rsid w:val="00E23ECE"/>
    <w:rsid w:val="00E3500E"/>
    <w:rsid w:val="00E61032"/>
    <w:rsid w:val="00E611AB"/>
    <w:rsid w:val="00E86662"/>
    <w:rsid w:val="00E94E0D"/>
    <w:rsid w:val="00EB2735"/>
    <w:rsid w:val="00ED5E2C"/>
    <w:rsid w:val="00EF291A"/>
    <w:rsid w:val="00F00C82"/>
    <w:rsid w:val="00F04AE9"/>
    <w:rsid w:val="00F04BD8"/>
    <w:rsid w:val="00F4641E"/>
    <w:rsid w:val="00F759D2"/>
    <w:rsid w:val="00F93D74"/>
    <w:rsid w:val="00FD24E0"/>
    <w:rsid w:val="00FF0CA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95444"/>
  <w15:docId w15:val="{A1CA696D-E11C-469E-9CDE-F714B668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297"/>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53285"/>
    <w:rPr>
      <w:rFonts w:ascii="Tahoma" w:hAnsi="Tahoma" w:cs="Tahoma"/>
      <w:sz w:val="16"/>
      <w:szCs w:val="16"/>
      <w:lang w:val="es-ES_tradnl"/>
    </w:rPr>
  </w:style>
  <w:style w:type="character" w:customStyle="1" w:styleId="TextodegloboCar">
    <w:name w:val="Texto de globo Car"/>
    <w:basedOn w:val="Fuentedeprrafopredeter"/>
    <w:link w:val="Textodeglobo"/>
    <w:uiPriority w:val="99"/>
    <w:semiHidden/>
    <w:rsid w:val="00553285"/>
    <w:rPr>
      <w:rFonts w:ascii="Tahoma" w:hAnsi="Tahoma" w:cs="Tahoma"/>
      <w:sz w:val="16"/>
      <w:szCs w:val="16"/>
    </w:rPr>
  </w:style>
  <w:style w:type="paragraph" w:styleId="Encabezado">
    <w:name w:val="header"/>
    <w:basedOn w:val="Normal"/>
    <w:link w:val="EncabezadoCar"/>
    <w:uiPriority w:val="99"/>
    <w:unhideWhenUsed/>
    <w:rsid w:val="00553285"/>
    <w:pPr>
      <w:tabs>
        <w:tab w:val="center" w:pos="4252"/>
        <w:tab w:val="right" w:pos="8504"/>
      </w:tabs>
    </w:pPr>
    <w:rPr>
      <w:sz w:val="22"/>
      <w:szCs w:val="22"/>
      <w:lang w:val="es-ES_tradnl"/>
    </w:rPr>
  </w:style>
  <w:style w:type="character" w:customStyle="1" w:styleId="EncabezadoCar">
    <w:name w:val="Encabezado Car"/>
    <w:basedOn w:val="Fuentedeprrafopredeter"/>
    <w:link w:val="Encabezado"/>
    <w:uiPriority w:val="99"/>
    <w:rsid w:val="00553285"/>
  </w:style>
  <w:style w:type="paragraph" w:styleId="Piedepgina">
    <w:name w:val="footer"/>
    <w:basedOn w:val="Normal"/>
    <w:link w:val="PiedepginaCar"/>
    <w:uiPriority w:val="99"/>
    <w:unhideWhenUsed/>
    <w:rsid w:val="00553285"/>
    <w:pPr>
      <w:tabs>
        <w:tab w:val="center" w:pos="4252"/>
        <w:tab w:val="right" w:pos="8504"/>
      </w:tabs>
    </w:pPr>
    <w:rPr>
      <w:sz w:val="22"/>
      <w:szCs w:val="22"/>
      <w:lang w:val="es-ES_tradnl"/>
    </w:rPr>
  </w:style>
  <w:style w:type="character" w:customStyle="1" w:styleId="PiedepginaCar">
    <w:name w:val="Pie de página Car"/>
    <w:basedOn w:val="Fuentedeprrafopredeter"/>
    <w:link w:val="Piedepgina"/>
    <w:uiPriority w:val="99"/>
    <w:rsid w:val="00553285"/>
  </w:style>
  <w:style w:type="character" w:styleId="Nmerodepgina">
    <w:name w:val="page number"/>
    <w:basedOn w:val="Fuentedeprrafopredeter"/>
    <w:uiPriority w:val="99"/>
    <w:unhideWhenUsed/>
    <w:rsid w:val="004E0FD3"/>
  </w:style>
  <w:style w:type="paragraph" w:customStyle="1" w:styleId="Default">
    <w:name w:val="Default"/>
    <w:rsid w:val="00E3500E"/>
    <w:pPr>
      <w:autoSpaceDE w:val="0"/>
      <w:autoSpaceDN w:val="0"/>
      <w:adjustRightInd w:val="0"/>
      <w:spacing w:after="0" w:line="240" w:lineRule="auto"/>
    </w:pPr>
    <w:rPr>
      <w:rFonts w:ascii="Arial" w:hAnsi="Arial" w:cs="Arial"/>
      <w:color w:val="000000"/>
      <w:sz w:val="24"/>
      <w:szCs w:val="24"/>
    </w:rPr>
  </w:style>
  <w:style w:type="paragraph" w:customStyle="1" w:styleId="articulo">
    <w:name w:val="articulo"/>
    <w:basedOn w:val="Normal"/>
    <w:rsid w:val="0007228D"/>
    <w:pPr>
      <w:spacing w:before="100" w:beforeAutospacing="1" w:after="100" w:afterAutospacing="1"/>
    </w:pPr>
    <w:rPr>
      <w:rFonts w:ascii="Times New Roman" w:eastAsia="Times New Roman" w:hAnsi="Times New Roman" w:cs="Times New Roman"/>
      <w:lang w:val="es-ES_tradnl" w:eastAsia="es-ES_tradnl"/>
    </w:rPr>
  </w:style>
  <w:style w:type="paragraph" w:customStyle="1" w:styleId="parrafo">
    <w:name w:val="parrafo"/>
    <w:basedOn w:val="Normal"/>
    <w:rsid w:val="0007228D"/>
    <w:pPr>
      <w:spacing w:before="100" w:beforeAutospacing="1" w:after="100" w:afterAutospacing="1"/>
    </w:pPr>
    <w:rPr>
      <w:rFonts w:ascii="Times New Roman" w:eastAsia="Times New Roman" w:hAnsi="Times New Roman" w:cs="Times New Roman"/>
      <w:lang w:val="es-ES_tradnl" w:eastAsia="es-ES_tradnl"/>
    </w:rPr>
  </w:style>
  <w:style w:type="character" w:styleId="Hipervnculo">
    <w:name w:val="Hyperlink"/>
    <w:basedOn w:val="Fuentedeprrafopredeter"/>
    <w:uiPriority w:val="99"/>
    <w:unhideWhenUsed/>
    <w:rsid w:val="007758A9"/>
    <w:rPr>
      <w:color w:val="0000FF" w:themeColor="hyperlink"/>
      <w:u w:val="single"/>
    </w:rPr>
  </w:style>
  <w:style w:type="paragraph" w:styleId="Prrafodelista">
    <w:name w:val="List Paragraph"/>
    <w:basedOn w:val="Normal"/>
    <w:uiPriority w:val="34"/>
    <w:qFormat/>
    <w:rsid w:val="00F00C82"/>
    <w:pPr>
      <w:spacing w:after="200" w:line="276" w:lineRule="auto"/>
      <w:ind w:left="720"/>
      <w:contextualSpacing/>
    </w:pPr>
    <w:rPr>
      <w:sz w:val="22"/>
      <w:szCs w:val="22"/>
      <w:lang w:val="es-ES_tradnl"/>
    </w:rPr>
  </w:style>
  <w:style w:type="paragraph" w:styleId="Textonotapie">
    <w:name w:val="footnote text"/>
    <w:basedOn w:val="Normal"/>
    <w:link w:val="TextonotapieCar"/>
    <w:uiPriority w:val="99"/>
    <w:semiHidden/>
    <w:unhideWhenUsed/>
    <w:rsid w:val="00B77FF7"/>
    <w:rPr>
      <w:sz w:val="20"/>
      <w:szCs w:val="20"/>
      <w:lang w:val="es-ES_tradnl"/>
    </w:rPr>
  </w:style>
  <w:style w:type="character" w:customStyle="1" w:styleId="TextonotapieCar">
    <w:name w:val="Texto nota pie Car"/>
    <w:basedOn w:val="Fuentedeprrafopredeter"/>
    <w:link w:val="Textonotapie"/>
    <w:uiPriority w:val="99"/>
    <w:semiHidden/>
    <w:rsid w:val="00B77FF7"/>
    <w:rPr>
      <w:sz w:val="20"/>
      <w:szCs w:val="20"/>
    </w:rPr>
  </w:style>
  <w:style w:type="character" w:styleId="Refdenotaalpie">
    <w:name w:val="footnote reference"/>
    <w:basedOn w:val="Fuentedeprrafopredeter"/>
    <w:uiPriority w:val="99"/>
    <w:semiHidden/>
    <w:unhideWhenUsed/>
    <w:rsid w:val="00B77FF7"/>
    <w:rPr>
      <w:vertAlign w:val="superscript"/>
    </w:rPr>
  </w:style>
  <w:style w:type="character" w:styleId="Mencinsinresolver">
    <w:name w:val="Unresolved Mention"/>
    <w:basedOn w:val="Fuentedeprrafopredeter"/>
    <w:uiPriority w:val="99"/>
    <w:semiHidden/>
    <w:unhideWhenUsed/>
    <w:rsid w:val="003F7DE5"/>
    <w:rPr>
      <w:color w:val="605E5C"/>
      <w:shd w:val="clear" w:color="auto" w:fill="E1DFDD"/>
    </w:rPr>
  </w:style>
  <w:style w:type="paragraph" w:styleId="NormalWeb">
    <w:name w:val="Normal (Web)"/>
    <w:basedOn w:val="Normal"/>
    <w:uiPriority w:val="99"/>
    <w:unhideWhenUsed/>
    <w:rsid w:val="005729D4"/>
    <w:pPr>
      <w:spacing w:before="100" w:beforeAutospacing="1" w:after="100" w:afterAutospacing="1"/>
    </w:pPr>
    <w:rPr>
      <w:rFonts w:ascii="Times New Roman" w:eastAsia="Times New Roman" w:hAnsi="Times New Roman" w:cs="Times New Roman"/>
      <w:lang w:eastAsia="es-ES"/>
    </w:rPr>
  </w:style>
  <w:style w:type="paragraph" w:styleId="Revisin">
    <w:name w:val="Revision"/>
    <w:hidden/>
    <w:uiPriority w:val="99"/>
    <w:semiHidden/>
    <w:rsid w:val="00C90953"/>
    <w:pPr>
      <w:spacing w:after="0" w:line="240" w:lineRule="auto"/>
    </w:pPr>
    <w:rPr>
      <w:sz w:val="24"/>
      <w:szCs w:val="24"/>
      <w:lang w:val="es-ES"/>
    </w:rPr>
  </w:style>
  <w:style w:type="character" w:styleId="Refdecomentario">
    <w:name w:val="annotation reference"/>
    <w:basedOn w:val="Fuentedeprrafopredeter"/>
    <w:uiPriority w:val="99"/>
    <w:semiHidden/>
    <w:unhideWhenUsed/>
    <w:rsid w:val="00752B56"/>
    <w:rPr>
      <w:sz w:val="16"/>
      <w:szCs w:val="16"/>
    </w:rPr>
  </w:style>
  <w:style w:type="paragraph" w:styleId="Textocomentario">
    <w:name w:val="annotation text"/>
    <w:basedOn w:val="Normal"/>
    <w:link w:val="TextocomentarioCar"/>
    <w:uiPriority w:val="99"/>
    <w:unhideWhenUsed/>
    <w:rsid w:val="00752B56"/>
    <w:rPr>
      <w:sz w:val="20"/>
      <w:szCs w:val="20"/>
    </w:rPr>
  </w:style>
  <w:style w:type="character" w:customStyle="1" w:styleId="TextocomentarioCar">
    <w:name w:val="Texto comentario Car"/>
    <w:basedOn w:val="Fuentedeprrafopredeter"/>
    <w:link w:val="Textocomentario"/>
    <w:uiPriority w:val="99"/>
    <w:rsid w:val="00752B56"/>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52B56"/>
    <w:rPr>
      <w:b/>
      <w:bCs/>
    </w:rPr>
  </w:style>
  <w:style w:type="character" w:customStyle="1" w:styleId="AsuntodelcomentarioCar">
    <w:name w:val="Asunto del comentario Car"/>
    <w:basedOn w:val="TextocomentarioCar"/>
    <w:link w:val="Asuntodelcomentario"/>
    <w:uiPriority w:val="99"/>
    <w:semiHidden/>
    <w:rsid w:val="00752B56"/>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733495">
      <w:bodyDiv w:val="1"/>
      <w:marLeft w:val="0"/>
      <w:marRight w:val="0"/>
      <w:marTop w:val="0"/>
      <w:marBottom w:val="0"/>
      <w:divBdr>
        <w:top w:val="none" w:sz="0" w:space="0" w:color="auto"/>
        <w:left w:val="none" w:sz="0" w:space="0" w:color="auto"/>
        <w:bottom w:val="none" w:sz="0" w:space="0" w:color="auto"/>
        <w:right w:val="none" w:sz="0" w:space="0" w:color="auto"/>
      </w:divBdr>
    </w:div>
    <w:div w:id="20139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DCCPI\OCPI\0_INFORMACION%20GENERAL\4_PROCEDIMIENTOS_PLANTILLAS\PLANTILLAS_CPP\1.%20DOCUMENTOS%20GENERALES\Plantilla%20Documento%20Base%20CDTI%20FEDER%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787B92E6A36C4A83AD37B196E976C7" ma:contentTypeVersion="1" ma:contentTypeDescription="Crear nuevo documento." ma:contentTypeScope="" ma:versionID="ac495cade020843351edde68c6d1486e">
  <xsd:schema xmlns:xsd="http://www.w3.org/2001/XMLSchema" xmlns:xs="http://www.w3.org/2001/XMLSchema" xmlns:p="http://schemas.microsoft.com/office/2006/metadata/properties" xmlns:ns2="0ac5acf8-4671-45df-bfb8-50e8ab0af5b3" targetNamespace="http://schemas.microsoft.com/office/2006/metadata/properties" ma:root="true" ma:fieldsID="cbb96b6093e53e9ad23063f8206729c0" ns2:_="">
    <xsd:import namespace="0ac5acf8-4671-45df-bfb8-50e8ab0af5b3"/>
    <xsd:element name="properties">
      <xsd:complexType>
        <xsd:sequence>
          <xsd:element name="documentManagement">
            <xsd:complexType>
              <xsd:all>
                <xsd:element ref="ns2:ICDTITipo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5acf8-4671-45df-bfb8-50e8ab0af5b3" elementFormDefault="qualified">
    <xsd:import namespace="http://schemas.microsoft.com/office/2006/documentManagement/types"/>
    <xsd:import namespace="http://schemas.microsoft.com/office/infopath/2007/PartnerControls"/>
    <xsd:element name="ICDTITipoDocumento" ma:index="8" nillable="true" ma:displayName="ICDTITipoDocumento" ma:default="Logo" ma:format="Dropdown" ma:internalName="ICDTITipoDocumento">
      <xsd:simpleType>
        <xsd:restriction base="dms:Choice">
          <xsd:enumeration value="Logo"/>
          <xsd:enumeration value="Plantill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DTITipoDocumento xmlns="0ac5acf8-4671-45df-bfb8-50e8ab0af5b3">Plantilla</ICDTITipoDocumen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C8D3D-6D90-495E-A37C-19252708A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5acf8-4671-45df-bfb8-50e8ab0af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49EA3-9843-4CB2-AB0A-00649696F029}">
  <ds:schemaRefs>
    <ds:schemaRef ds:uri="http://schemas.microsoft.com/office/2006/metadata/properties"/>
    <ds:schemaRef ds:uri="http://schemas.microsoft.com/office/infopath/2007/PartnerControls"/>
    <ds:schemaRef ds:uri="0ac5acf8-4671-45df-bfb8-50e8ab0af5b3"/>
  </ds:schemaRefs>
</ds:datastoreItem>
</file>

<file path=customXml/itemProps3.xml><?xml version="1.0" encoding="utf-8"?>
<ds:datastoreItem xmlns:ds="http://schemas.openxmlformats.org/officeDocument/2006/customXml" ds:itemID="{8BE35F8F-7FCF-4A1E-B3BF-09A733EF6D6A}">
  <ds:schemaRefs>
    <ds:schemaRef ds:uri="http://schemas.microsoft.com/sharepoint/v3/contenttype/forms"/>
  </ds:schemaRefs>
</ds:datastoreItem>
</file>

<file path=customXml/itemProps4.xml><?xml version="1.0" encoding="utf-8"?>
<ds:datastoreItem xmlns:ds="http://schemas.openxmlformats.org/officeDocument/2006/customXml" ds:itemID="{B0CFD2E8-48A6-4C68-A9A4-5C92274C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Documento Base CDTI FEDER 2022</Template>
  <TotalTime>58</TotalTime>
  <Pages>5</Pages>
  <Words>1419</Words>
  <Characters>7807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Isabel Rodriguez Belda</dc:creator>
  <cp:lastModifiedBy>Ana Isabel Rodriguez Belda</cp:lastModifiedBy>
  <cp:revision>7</cp:revision>
  <dcterms:created xsi:type="dcterms:W3CDTF">2022-12-16T10:14:00Z</dcterms:created>
  <dcterms:modified xsi:type="dcterms:W3CDTF">2023-01-20T11:17:00Z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0x0101006C787B92E6A36C4A83AD37B196E976C7</vt:lpwstr>
  </property>
</Properties>
</file>